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0E99A" w14:textId="40810D44" w:rsidR="00EE4C58" w:rsidRPr="00EE4C58" w:rsidRDefault="00140D7F" w:rsidP="00C51698">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0F76E6">
        <w:rPr>
          <w:rFonts w:ascii="Invesco Interstate Bold" w:hAnsi="Invesco Interstate Bold"/>
          <w:b/>
          <w:bCs/>
          <w:sz w:val="28"/>
          <w:szCs w:val="28"/>
        </w:rPr>
        <w:t>Jak to nyní vypadá na</w:t>
      </w:r>
      <w:r w:rsidR="00BA5183">
        <w:rPr>
          <w:rFonts w:ascii="Invesco Interstate Bold" w:hAnsi="Invesco Interstate Bold"/>
          <w:b/>
          <w:bCs/>
          <w:sz w:val="28"/>
          <w:szCs w:val="28"/>
        </w:rPr>
        <w:t> trhu aktiv s pevným výnosem</w:t>
      </w:r>
    </w:p>
    <w:p w14:paraId="0CEB7CED" w14:textId="7D7C1C2F" w:rsidR="00EE4C58" w:rsidRDefault="00BA5183" w:rsidP="002231C5">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Výnosy</w:t>
      </w:r>
      <w:r w:rsidR="000F76E6">
        <w:rPr>
          <w:rFonts w:ascii="Invesco Interstate Light" w:eastAsia="MS Mincho" w:hAnsi="Invesco Interstate Light"/>
          <w:b/>
          <w:bCs/>
          <w:sz w:val="22"/>
          <w:szCs w:val="22"/>
          <w:lang w:eastAsia="ja-JP"/>
        </w:rPr>
        <w:t xml:space="preserve"> různých</w:t>
      </w:r>
      <w:r>
        <w:rPr>
          <w:rFonts w:ascii="Invesco Interstate Light" w:eastAsia="MS Mincho" w:hAnsi="Invesco Interstate Light"/>
          <w:b/>
          <w:bCs/>
          <w:sz w:val="22"/>
          <w:szCs w:val="22"/>
          <w:lang w:eastAsia="ja-JP"/>
        </w:rPr>
        <w:t xml:space="preserve"> tříd aktiv </w:t>
      </w:r>
    </w:p>
    <w:p w14:paraId="60711554" w14:textId="77777777" w:rsidR="00EE4C58" w:rsidRPr="00EE4C58" w:rsidRDefault="00EE4C58" w:rsidP="00BA5183">
      <w:pPr>
        <w:spacing w:line="240" w:lineRule="auto"/>
        <w:jc w:val="both"/>
        <w:rPr>
          <w:rFonts w:ascii="Invesco Interstate Light" w:eastAsia="MS Mincho" w:hAnsi="Invesco Interstate Light"/>
          <w:b/>
          <w:bCs/>
          <w:sz w:val="22"/>
          <w:szCs w:val="22"/>
          <w:lang w:eastAsia="ja-JP"/>
        </w:rPr>
      </w:pPr>
    </w:p>
    <w:p w14:paraId="3D5C2B71" w14:textId="060665D9" w:rsidR="00BA5183" w:rsidRPr="00BA5183" w:rsidRDefault="00BA5183" w:rsidP="00BA5183">
      <w:pPr>
        <w:spacing w:line="360" w:lineRule="auto"/>
        <w:jc w:val="both"/>
        <w:rPr>
          <w:rFonts w:ascii="Invesco Interstate Light" w:eastAsia="MS Mincho" w:hAnsi="Invesco Interstate Light"/>
          <w:sz w:val="22"/>
          <w:szCs w:val="22"/>
          <w:lang w:eastAsia="ja-JP"/>
        </w:rPr>
      </w:pPr>
      <w:r w:rsidRPr="00BA5183">
        <w:rPr>
          <w:rFonts w:ascii="Invesco Interstate Light" w:eastAsia="MS Mincho" w:hAnsi="Invesco Interstate Light"/>
          <w:sz w:val="22"/>
          <w:szCs w:val="22"/>
          <w:lang w:eastAsia="ja-JP"/>
        </w:rPr>
        <w:t>Po březnovém vzestupu se trhy s pevným výnosem v dubnu vyvíjely špatně, protože očekávání snížení sazeb byla opět odsunuta. Silnější</w:t>
      </w:r>
      <w:r>
        <w:rPr>
          <w:rFonts w:ascii="Invesco Interstate Light" w:eastAsia="MS Mincho" w:hAnsi="Invesco Interstate Light"/>
          <w:sz w:val="22"/>
          <w:szCs w:val="22"/>
          <w:lang w:eastAsia="ja-JP"/>
        </w:rPr>
        <w:t xml:space="preserve">, </w:t>
      </w:r>
      <w:r w:rsidRPr="00BA5183">
        <w:rPr>
          <w:rFonts w:ascii="Invesco Interstate Light" w:eastAsia="MS Mincho" w:hAnsi="Invesco Interstate Light"/>
          <w:sz w:val="22"/>
          <w:szCs w:val="22"/>
          <w:lang w:eastAsia="ja-JP"/>
        </w:rPr>
        <w:t xml:space="preserve">než očekávaná ekonomická data z USA udržovala na začátku měsíce tlak na růst výnosů amerických státních dluhopisů a data o inflaci v polovině měsíce vedla k dalšímu růstu výnosů. Předseda </w:t>
      </w:r>
      <w:proofErr w:type="spellStart"/>
      <w:r w:rsidRPr="00BA5183">
        <w:rPr>
          <w:rFonts w:ascii="Invesco Interstate Light" w:eastAsia="MS Mincho" w:hAnsi="Invesco Interstate Light"/>
          <w:sz w:val="22"/>
          <w:szCs w:val="22"/>
          <w:lang w:eastAsia="ja-JP"/>
        </w:rPr>
        <w:t>Fedu</w:t>
      </w:r>
      <w:proofErr w:type="spellEnd"/>
      <w:r w:rsidRPr="00BA5183">
        <w:rPr>
          <w:rFonts w:ascii="Invesco Interstate Light" w:eastAsia="MS Mincho" w:hAnsi="Invesco Interstate Light"/>
          <w:sz w:val="22"/>
          <w:szCs w:val="22"/>
          <w:lang w:eastAsia="ja-JP"/>
        </w:rPr>
        <w:t xml:space="preserve"> </w:t>
      </w:r>
      <w:proofErr w:type="spellStart"/>
      <w:r w:rsidRPr="00BA5183">
        <w:rPr>
          <w:rFonts w:ascii="Invesco Interstate Light" w:eastAsia="MS Mincho" w:hAnsi="Invesco Interstate Light"/>
          <w:sz w:val="22"/>
          <w:szCs w:val="22"/>
          <w:lang w:eastAsia="ja-JP"/>
        </w:rPr>
        <w:t>Powell</w:t>
      </w:r>
      <w:proofErr w:type="spellEnd"/>
      <w:r w:rsidRPr="00BA5183">
        <w:rPr>
          <w:rFonts w:ascii="Invesco Interstate Light" w:eastAsia="MS Mincho" w:hAnsi="Invesco Interstate Light"/>
          <w:sz w:val="22"/>
          <w:szCs w:val="22"/>
          <w:lang w:eastAsia="ja-JP"/>
        </w:rPr>
        <w:t xml:space="preserve"> také naznačil, že vzhledem k tomu, že v posledních měsících nedošlo k dalšímu posunu při návratu inflace k cíli, bude možná nutné ponechat sazby na vyšší úrovni po delší dobu, což posunulo očekávání prvního snížení sazeb až na čtvrté čtvrtletí. Také inflace ve Spojeném království se ukázala být trvalejší, než se očekávalo, což podpořilo medvědí náladu vůči dluhopisům. V průběhu měsíce</w:t>
      </w:r>
      <w:r w:rsidR="000F76E6">
        <w:rPr>
          <w:rFonts w:ascii="Invesco Interstate Light" w:eastAsia="MS Mincho" w:hAnsi="Invesco Interstate Light"/>
          <w:sz w:val="22"/>
          <w:szCs w:val="22"/>
          <w:lang w:eastAsia="ja-JP"/>
        </w:rPr>
        <w:t xml:space="preserve"> dubna</w:t>
      </w:r>
      <w:r w:rsidRPr="00BA5183">
        <w:rPr>
          <w:rFonts w:ascii="Invesco Interstate Light" w:eastAsia="MS Mincho" w:hAnsi="Invesco Interstate Light"/>
          <w:sz w:val="22"/>
          <w:szCs w:val="22"/>
          <w:lang w:eastAsia="ja-JP"/>
        </w:rPr>
        <w:t xml:space="preserve"> silnější data a méně holubičí tón </w:t>
      </w:r>
      <w:proofErr w:type="spellStart"/>
      <w:r w:rsidRPr="00BA5183">
        <w:rPr>
          <w:rFonts w:ascii="Invesco Interstate Light" w:eastAsia="MS Mincho" w:hAnsi="Invesco Interstate Light"/>
          <w:sz w:val="22"/>
          <w:szCs w:val="22"/>
          <w:lang w:eastAsia="ja-JP"/>
        </w:rPr>
        <w:t>Fedu</w:t>
      </w:r>
      <w:proofErr w:type="spellEnd"/>
      <w:r w:rsidRPr="00BA5183">
        <w:rPr>
          <w:rFonts w:ascii="Invesco Interstate Light" w:eastAsia="MS Mincho" w:hAnsi="Invesco Interstate Light"/>
          <w:sz w:val="22"/>
          <w:szCs w:val="22"/>
          <w:lang w:eastAsia="ja-JP"/>
        </w:rPr>
        <w:t xml:space="preserve"> podpořily americký dolar, který posílil, zatímco japonský jen poprvé od roku 1990 oslabil nad úroveň 160 vůči americkému dolaru.</w:t>
      </w:r>
    </w:p>
    <w:p w14:paraId="1F1F49BC" w14:textId="77777777" w:rsidR="00EE4C58" w:rsidRPr="00EE4C58" w:rsidRDefault="00EE4C58" w:rsidP="002231C5">
      <w:pPr>
        <w:spacing w:line="0" w:lineRule="atLeast"/>
        <w:jc w:val="both"/>
        <w:rPr>
          <w:rFonts w:ascii="Invesco Interstate Light" w:eastAsia="MS Mincho" w:hAnsi="Invesco Interstate Light"/>
          <w:b/>
          <w:bCs/>
          <w:sz w:val="22"/>
          <w:szCs w:val="22"/>
          <w:lang w:eastAsia="ja-JP"/>
        </w:rPr>
      </w:pPr>
    </w:p>
    <w:p w14:paraId="281306A3" w14:textId="470E5103" w:rsidR="00EE4C58" w:rsidRDefault="00BA5183" w:rsidP="002231C5">
      <w:pPr>
        <w:spacing w:line="360" w:lineRule="auto"/>
        <w:jc w:val="both"/>
        <w:rPr>
          <w:rFonts w:ascii="Invesco Interstate Light" w:eastAsia="MS Mincho" w:hAnsi="Invesco Interstate Light"/>
          <w:b/>
          <w:bCs/>
          <w:sz w:val="22"/>
          <w:szCs w:val="22"/>
          <w:lang w:eastAsia="ja-JP"/>
        </w:rPr>
      </w:pPr>
      <w:r>
        <w:rPr>
          <w:rFonts w:ascii="Invesco Interstate Light" w:eastAsia="MS Mincho" w:hAnsi="Invesco Interstate Light"/>
          <w:b/>
          <w:bCs/>
          <w:sz w:val="22"/>
          <w:szCs w:val="22"/>
          <w:lang w:eastAsia="ja-JP"/>
        </w:rPr>
        <w:t>Graf</w:t>
      </w:r>
      <w:r w:rsidR="00B122C7">
        <w:rPr>
          <w:rFonts w:ascii="Invesco Interstate Light" w:eastAsia="MS Mincho" w:hAnsi="Invesco Interstate Light"/>
          <w:b/>
          <w:bCs/>
          <w:sz w:val="22"/>
          <w:szCs w:val="22"/>
          <w:lang w:eastAsia="ja-JP"/>
        </w:rPr>
        <w:t xml:space="preserve"> 1</w:t>
      </w:r>
      <w:r>
        <w:rPr>
          <w:rFonts w:ascii="Invesco Interstate Light" w:eastAsia="MS Mincho" w:hAnsi="Invesco Interstate Light"/>
          <w:b/>
          <w:bCs/>
          <w:sz w:val="22"/>
          <w:szCs w:val="22"/>
          <w:lang w:eastAsia="ja-JP"/>
        </w:rPr>
        <w:t xml:space="preserve">: Výnosy tříd aktiv </w:t>
      </w:r>
      <w:r w:rsidRPr="00BA5183">
        <w:rPr>
          <w:rFonts w:ascii="Invesco Interstate Light" w:eastAsia="MS Mincho" w:hAnsi="Invesco Interstate Light"/>
          <w:b/>
          <w:bCs/>
          <w:sz w:val="22"/>
          <w:szCs w:val="22"/>
          <w:lang w:eastAsia="ja-JP"/>
        </w:rPr>
        <w:t>–</w:t>
      </w:r>
      <w:r>
        <w:rPr>
          <w:rFonts w:ascii="Invesco Interstate Light" w:eastAsia="MS Mincho" w:hAnsi="Invesco Interstate Light"/>
          <w:b/>
          <w:bCs/>
          <w:sz w:val="22"/>
          <w:szCs w:val="22"/>
          <w:lang w:eastAsia="ja-JP"/>
        </w:rPr>
        <w:t xml:space="preserve"> duben 2024</w:t>
      </w:r>
    </w:p>
    <w:p w14:paraId="0C50320D" w14:textId="77777777" w:rsidR="00EE4C58" w:rsidRPr="00EE4C58" w:rsidRDefault="00EE4C58" w:rsidP="00C51698">
      <w:pPr>
        <w:spacing w:line="240" w:lineRule="auto"/>
        <w:jc w:val="both"/>
        <w:rPr>
          <w:rFonts w:ascii="Invesco Interstate Light" w:eastAsia="MS Mincho" w:hAnsi="Invesco Interstate Light"/>
          <w:b/>
          <w:bCs/>
          <w:sz w:val="22"/>
          <w:szCs w:val="22"/>
          <w:lang w:eastAsia="ja-JP"/>
        </w:rPr>
      </w:pPr>
    </w:p>
    <w:p w14:paraId="36B418C8" w14:textId="77777777" w:rsidR="00BA5183" w:rsidRDefault="00BA5183" w:rsidP="00BA5183">
      <w:pPr>
        <w:spacing w:line="240" w:lineRule="auto"/>
        <w:jc w:val="right"/>
        <w:rPr>
          <w:rFonts w:ascii="Invesco Interstate Light" w:eastAsia="MS Mincho" w:hAnsi="Invesco Interstate Light"/>
          <w:i/>
          <w:iCs/>
          <w:lang w:eastAsia="ja-JP"/>
        </w:rPr>
      </w:pPr>
      <w:r w:rsidRPr="003545F9">
        <w:rPr>
          <w:rFonts w:ascii="Arial" w:hAnsi="Arial" w:cs="Arial"/>
          <w:noProof/>
          <w:color w:val="000000"/>
          <w:lang w:eastAsia="cs-CZ"/>
        </w:rPr>
        <w:drawing>
          <wp:inline distT="0" distB="0" distL="0" distR="0" wp14:anchorId="5DAE927F" wp14:editId="68CC8C75">
            <wp:extent cx="5760720" cy="3240405"/>
            <wp:effectExtent l="0" t="0" r="0" b="0"/>
            <wp:docPr id="1995752130" name="Obrázek 8" descr="Asset class returns –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set class returns – April 20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0545F1B2" w14:textId="3B37362B" w:rsidR="00BA5183" w:rsidRPr="00BA5183" w:rsidRDefault="00BA5183" w:rsidP="00BA5183">
      <w:pPr>
        <w:spacing w:line="240" w:lineRule="auto"/>
        <w:jc w:val="right"/>
        <w:rPr>
          <w:rFonts w:ascii="Invesco Interstate Light" w:eastAsia="MS Mincho" w:hAnsi="Invesco Interstate Light"/>
          <w:i/>
          <w:iCs/>
          <w:lang w:eastAsia="ja-JP"/>
        </w:rPr>
      </w:pPr>
      <w:r>
        <w:rPr>
          <w:rFonts w:ascii="Invesco Interstate Light" w:eastAsia="MS Mincho" w:hAnsi="Invesco Interstate Light"/>
          <w:i/>
          <w:iCs/>
          <w:lang w:eastAsia="ja-JP"/>
        </w:rPr>
        <w:br/>
      </w:r>
      <w:r w:rsidRPr="00BA5183">
        <w:rPr>
          <w:rFonts w:ascii="Invesco Interstate Light" w:eastAsia="MS Mincho" w:hAnsi="Invesco Interstate Light"/>
          <w:i/>
          <w:iCs/>
          <w:lang w:eastAsia="ja-JP"/>
        </w:rPr>
        <w:t xml:space="preserve">Zdroj: </w:t>
      </w:r>
      <w:proofErr w:type="spellStart"/>
      <w:r w:rsidRPr="00BA5183">
        <w:rPr>
          <w:rFonts w:ascii="Invesco Interstate Light" w:eastAsia="MS Mincho" w:hAnsi="Invesco Interstate Light"/>
          <w:i/>
          <w:iCs/>
          <w:lang w:eastAsia="ja-JP"/>
        </w:rPr>
        <w:t>Bloomberg</w:t>
      </w:r>
      <w:proofErr w:type="spellEnd"/>
      <w:r w:rsidRPr="00BA5183">
        <w:rPr>
          <w:rFonts w:ascii="Invesco Interstate Light" w:eastAsia="MS Mincho" w:hAnsi="Invesco Interstate Light"/>
          <w:i/>
          <w:iCs/>
          <w:lang w:eastAsia="ja-JP"/>
        </w:rPr>
        <w:t xml:space="preserve">, </w:t>
      </w:r>
      <w:proofErr w:type="spellStart"/>
      <w:r w:rsidRPr="00BA5183">
        <w:rPr>
          <w:rFonts w:ascii="Invesco Interstate Light" w:eastAsia="MS Mincho" w:hAnsi="Invesco Interstate Light"/>
          <w:i/>
          <w:iCs/>
          <w:lang w:eastAsia="ja-JP"/>
        </w:rPr>
        <w:t>Invesco</w:t>
      </w:r>
      <w:proofErr w:type="spellEnd"/>
      <w:r w:rsidRPr="00BA5183">
        <w:rPr>
          <w:rFonts w:ascii="Invesco Interstate Light" w:eastAsia="MS Mincho" w:hAnsi="Invesco Interstate Light"/>
          <w:i/>
          <w:iCs/>
          <w:lang w:eastAsia="ja-JP"/>
        </w:rPr>
        <w:t xml:space="preserve"> k 30. 4. 2024</w:t>
      </w:r>
      <w:r w:rsidR="00684090">
        <w:rPr>
          <w:rFonts w:ascii="Invesco Interstate Light" w:eastAsia="MS Mincho" w:hAnsi="Invesco Interstate Light"/>
          <w:i/>
          <w:iCs/>
          <w:lang w:eastAsia="ja-JP"/>
        </w:rPr>
        <w:t>.</w:t>
      </w:r>
    </w:p>
    <w:p w14:paraId="12952599" w14:textId="77777777" w:rsidR="00BA5183" w:rsidRDefault="00BA5183" w:rsidP="00C51698">
      <w:pPr>
        <w:spacing w:line="360" w:lineRule="auto"/>
        <w:jc w:val="both"/>
        <w:rPr>
          <w:rFonts w:ascii="Invesco Interstate Light" w:eastAsia="MS Mincho" w:hAnsi="Invesco Interstate Light"/>
          <w:sz w:val="22"/>
          <w:szCs w:val="22"/>
          <w:lang w:eastAsia="ja-JP"/>
        </w:rPr>
      </w:pPr>
    </w:p>
    <w:p w14:paraId="31145783" w14:textId="77777777" w:rsidR="00BA5183" w:rsidRDefault="00BA5183" w:rsidP="00F07843">
      <w:pPr>
        <w:spacing w:line="240" w:lineRule="auto"/>
        <w:rPr>
          <w:rFonts w:ascii="Invesco Interstate Light" w:eastAsia="MS Mincho" w:hAnsi="Invesco Interstate Light"/>
          <w:sz w:val="22"/>
          <w:szCs w:val="22"/>
          <w:lang w:eastAsia="ja-JP"/>
        </w:rPr>
      </w:pPr>
    </w:p>
    <w:p w14:paraId="5B75E048" w14:textId="77777777" w:rsidR="00BA5183" w:rsidRDefault="00BA5183" w:rsidP="00F07843">
      <w:pPr>
        <w:spacing w:line="240" w:lineRule="auto"/>
        <w:rPr>
          <w:rFonts w:ascii="Invesco Interstate Light" w:eastAsia="MS Mincho" w:hAnsi="Invesco Interstate Light"/>
          <w:sz w:val="22"/>
          <w:szCs w:val="22"/>
          <w:lang w:eastAsia="ja-JP"/>
        </w:rPr>
      </w:pPr>
    </w:p>
    <w:p w14:paraId="6C2FD090" w14:textId="77777777" w:rsidR="00BA5183" w:rsidRDefault="00BA5183" w:rsidP="00F07843">
      <w:pPr>
        <w:spacing w:line="240" w:lineRule="auto"/>
        <w:rPr>
          <w:rFonts w:ascii="Invesco Interstate Light" w:eastAsia="MS Mincho" w:hAnsi="Invesco Interstate Light"/>
          <w:sz w:val="22"/>
          <w:szCs w:val="22"/>
          <w:lang w:eastAsia="ja-JP"/>
        </w:rPr>
      </w:pPr>
    </w:p>
    <w:p w14:paraId="4E07475C" w14:textId="3E7155C3" w:rsidR="00F07843" w:rsidRDefault="00BA5183" w:rsidP="00F07843">
      <w:pPr>
        <w:spacing w:line="240" w:lineRule="auto"/>
        <w:rPr>
          <w:rFonts w:ascii="Invesco Interstate Light" w:hAnsi="Invesco Interstate Light"/>
          <w:b/>
          <w:bCs/>
          <w:sz w:val="22"/>
          <w:szCs w:val="22"/>
        </w:rPr>
      </w:pPr>
      <w:r>
        <w:rPr>
          <w:rFonts w:ascii="Invesco Interstate Light" w:hAnsi="Invesco Interstate Light"/>
          <w:b/>
          <w:bCs/>
          <w:sz w:val="22"/>
          <w:szCs w:val="22"/>
        </w:rPr>
        <w:lastRenderedPageBreak/>
        <w:t>Státní dluhopisy a dluhopisy vázané na inflaci</w:t>
      </w:r>
    </w:p>
    <w:p w14:paraId="25B5E544" w14:textId="77777777" w:rsidR="00981A46" w:rsidRPr="00C51698" w:rsidRDefault="00981A46" w:rsidP="00981A46">
      <w:pPr>
        <w:spacing w:line="276" w:lineRule="auto"/>
        <w:jc w:val="both"/>
        <w:rPr>
          <w:rFonts w:ascii="Invesco Interstate Light" w:eastAsia="MS Mincho" w:hAnsi="Invesco Interstate Light"/>
          <w:sz w:val="22"/>
          <w:szCs w:val="22"/>
          <w:lang w:eastAsia="ja-JP"/>
        </w:rPr>
      </w:pPr>
    </w:p>
    <w:p w14:paraId="55AA2DF3" w14:textId="77777777" w:rsidR="00BA5183" w:rsidRDefault="00BA5183" w:rsidP="00BA5183">
      <w:pPr>
        <w:spacing w:line="360" w:lineRule="auto"/>
        <w:jc w:val="both"/>
        <w:rPr>
          <w:rFonts w:ascii="Invesco Interstate Light" w:hAnsi="Invesco Interstate Light" w:cs="Arial"/>
          <w:color w:val="000000"/>
          <w:sz w:val="22"/>
          <w:szCs w:val="22"/>
          <w:lang w:eastAsia="cs-CZ"/>
        </w:rPr>
      </w:pPr>
      <w:r w:rsidRPr="00BA5183">
        <w:rPr>
          <w:rFonts w:ascii="Invesco Interstate Light" w:hAnsi="Invesco Interstate Light" w:cs="Arial"/>
          <w:color w:val="000000"/>
          <w:sz w:val="22"/>
          <w:szCs w:val="22"/>
          <w:lang w:eastAsia="cs-CZ"/>
        </w:rPr>
        <w:t xml:space="preserve">Státní dluhopisy a dluhopisy vázané na inflaci si v dubnu vedly špatně. Zatímco americké státní dluhopisy zaznamenaly v průběhu měsíce největší růst výnosů, z hlediska celkového výnosu si nejhůře vedl trh s britskými </w:t>
      </w:r>
      <w:proofErr w:type="spellStart"/>
      <w:r w:rsidRPr="00BA5183">
        <w:rPr>
          <w:rFonts w:ascii="Invesco Interstate Light" w:hAnsi="Invesco Interstate Light" w:cs="Arial"/>
          <w:color w:val="000000"/>
          <w:sz w:val="22"/>
          <w:szCs w:val="22"/>
          <w:lang w:eastAsia="cs-CZ"/>
        </w:rPr>
        <w:t>gilty</w:t>
      </w:r>
      <w:proofErr w:type="spellEnd"/>
      <w:r w:rsidRPr="00BA5183">
        <w:rPr>
          <w:rFonts w:ascii="Invesco Interstate Light" w:hAnsi="Invesco Interstate Light" w:cs="Arial"/>
          <w:color w:val="000000"/>
          <w:sz w:val="22"/>
          <w:szCs w:val="22"/>
          <w:lang w:eastAsia="cs-CZ"/>
        </w:rPr>
        <w:t xml:space="preserve">, protože měl vyšší úrokové riziko. Stejně tak reálné výnosy vázané na inflaci vzrostly méně než jejich nominální protějšky, protože se v reakci na silnější data k inflaci rozšířila zlomová míra inflace, která se ukázala na trzích v USA a eurozóně jako defenzivní. Velmi dlouhá durace na britském trhu dluhopisů vázaného na indexy způsobila, že výkonnost byla nižší než u běžných </w:t>
      </w:r>
      <w:proofErr w:type="spellStart"/>
      <w:r w:rsidRPr="00BA5183">
        <w:rPr>
          <w:rFonts w:ascii="Invesco Interstate Light" w:hAnsi="Invesco Interstate Light" w:cs="Arial"/>
          <w:color w:val="000000"/>
          <w:sz w:val="22"/>
          <w:szCs w:val="22"/>
          <w:lang w:eastAsia="cs-CZ"/>
        </w:rPr>
        <w:t>giltů</w:t>
      </w:r>
      <w:proofErr w:type="spellEnd"/>
      <w:r w:rsidRPr="00BA5183">
        <w:rPr>
          <w:rFonts w:ascii="Invesco Interstate Light" w:hAnsi="Invesco Interstate Light" w:cs="Arial"/>
          <w:color w:val="000000"/>
          <w:sz w:val="22"/>
          <w:szCs w:val="22"/>
          <w:lang w:eastAsia="cs-CZ"/>
        </w:rPr>
        <w:t xml:space="preserve">. </w:t>
      </w:r>
    </w:p>
    <w:p w14:paraId="0E949D1F" w14:textId="77777777" w:rsidR="00B122C7" w:rsidRDefault="00B122C7" w:rsidP="00BA5183">
      <w:pPr>
        <w:spacing w:line="360" w:lineRule="auto"/>
        <w:jc w:val="both"/>
        <w:rPr>
          <w:rFonts w:ascii="Invesco Interstate Light" w:hAnsi="Invesco Interstate Light" w:cs="Arial"/>
          <w:color w:val="000000"/>
          <w:sz w:val="22"/>
          <w:szCs w:val="22"/>
          <w:lang w:eastAsia="cs-CZ"/>
        </w:rPr>
      </w:pPr>
    </w:p>
    <w:p w14:paraId="0558CA0E" w14:textId="1DFFAB02" w:rsidR="00B122C7" w:rsidRDefault="00684090" w:rsidP="00B122C7">
      <w:pPr>
        <w:spacing w:line="240" w:lineRule="auto"/>
        <w:rPr>
          <w:rFonts w:ascii="Invesco Interstate Light" w:hAnsi="Invesco Interstate Light"/>
          <w:b/>
          <w:bCs/>
          <w:sz w:val="22"/>
          <w:szCs w:val="22"/>
        </w:rPr>
      </w:pPr>
      <w:r>
        <w:rPr>
          <w:rFonts w:ascii="Invesco Interstate Light" w:hAnsi="Invesco Interstate Light"/>
          <w:b/>
          <w:bCs/>
          <w:sz w:val="22"/>
          <w:szCs w:val="22"/>
        </w:rPr>
        <w:t xml:space="preserve">Graf 2: </w:t>
      </w:r>
      <w:r w:rsidR="00B122C7">
        <w:rPr>
          <w:rFonts w:ascii="Invesco Interstate Light" w:hAnsi="Invesco Interstate Light"/>
          <w:b/>
          <w:bCs/>
          <w:sz w:val="22"/>
          <w:szCs w:val="22"/>
        </w:rPr>
        <w:t>Sazby v</w:t>
      </w:r>
      <w:r>
        <w:rPr>
          <w:rFonts w:ascii="Invesco Interstate Light" w:hAnsi="Invesco Interstate Light"/>
          <w:b/>
          <w:bCs/>
          <w:sz w:val="22"/>
          <w:szCs w:val="22"/>
        </w:rPr>
        <w:t> </w:t>
      </w:r>
      <w:r w:rsidR="00B122C7">
        <w:rPr>
          <w:rFonts w:ascii="Invesco Interstate Light" w:hAnsi="Invesco Interstate Light"/>
          <w:b/>
          <w:bCs/>
          <w:sz w:val="22"/>
          <w:szCs w:val="22"/>
        </w:rPr>
        <w:t>USA</w:t>
      </w:r>
    </w:p>
    <w:p w14:paraId="00818E3A" w14:textId="77777777" w:rsidR="00684090" w:rsidRDefault="00684090" w:rsidP="00B122C7">
      <w:pPr>
        <w:spacing w:line="240" w:lineRule="auto"/>
        <w:rPr>
          <w:rFonts w:ascii="Invesco Interstate Light" w:hAnsi="Invesco Interstate Light"/>
          <w:b/>
          <w:bCs/>
          <w:sz w:val="22"/>
          <w:szCs w:val="22"/>
        </w:rPr>
      </w:pPr>
    </w:p>
    <w:p w14:paraId="412CDD18" w14:textId="50C6B7DA" w:rsidR="00684090" w:rsidRDefault="00684090" w:rsidP="00B122C7">
      <w:pPr>
        <w:spacing w:line="240" w:lineRule="auto"/>
        <w:rPr>
          <w:rFonts w:ascii="Invesco Interstate Light" w:hAnsi="Invesco Interstate Light"/>
          <w:b/>
          <w:bCs/>
          <w:sz w:val="22"/>
          <w:szCs w:val="22"/>
        </w:rPr>
      </w:pPr>
      <w:r w:rsidRPr="003545F9">
        <w:rPr>
          <w:rFonts w:ascii="Arial" w:hAnsi="Arial" w:cs="Arial"/>
          <w:noProof/>
          <w:color w:val="000000"/>
          <w:lang w:eastAsia="cs-CZ"/>
        </w:rPr>
        <w:drawing>
          <wp:inline distT="0" distB="0" distL="0" distR="0" wp14:anchorId="72880773" wp14:editId="6792BE23">
            <wp:extent cx="5760720" cy="3240405"/>
            <wp:effectExtent l="0" t="0" r="0" b="0"/>
            <wp:docPr id="1700059297" name="Obrázek 7" descr="US Rates -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 Rates - April 20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74D5E144" w14:textId="77777777" w:rsidR="00684090" w:rsidRPr="00B122C7" w:rsidRDefault="00684090" w:rsidP="00684090">
      <w:pPr>
        <w:spacing w:line="240" w:lineRule="auto"/>
        <w:jc w:val="right"/>
        <w:rPr>
          <w:rFonts w:ascii="Invesco Interstate Light" w:eastAsia="MS Mincho" w:hAnsi="Invesco Interstate Light"/>
          <w:i/>
          <w:iCs/>
          <w:lang w:eastAsia="ja-JP"/>
        </w:rPr>
      </w:pPr>
      <w:r w:rsidRPr="00B122C7">
        <w:rPr>
          <w:rFonts w:ascii="Invesco Interstate Light" w:eastAsia="MS Mincho" w:hAnsi="Invesco Interstate Light"/>
          <w:i/>
          <w:iCs/>
          <w:lang w:eastAsia="ja-JP"/>
        </w:rPr>
        <w:t xml:space="preserve">Zdroj: </w:t>
      </w:r>
      <w:proofErr w:type="spellStart"/>
      <w:r w:rsidRPr="00B122C7">
        <w:rPr>
          <w:rFonts w:ascii="Invesco Interstate Light" w:eastAsia="MS Mincho" w:hAnsi="Invesco Interstate Light"/>
          <w:i/>
          <w:iCs/>
          <w:lang w:eastAsia="ja-JP"/>
        </w:rPr>
        <w:t>Bloomberg</w:t>
      </w:r>
      <w:proofErr w:type="spellEnd"/>
      <w:r w:rsidRPr="00B122C7">
        <w:rPr>
          <w:rFonts w:ascii="Invesco Interstate Light" w:eastAsia="MS Mincho" w:hAnsi="Invesco Interstate Light"/>
          <w:i/>
          <w:iCs/>
          <w:lang w:eastAsia="ja-JP"/>
        </w:rPr>
        <w:t xml:space="preserve">, </w:t>
      </w:r>
      <w:proofErr w:type="spellStart"/>
      <w:r w:rsidRPr="00B122C7">
        <w:rPr>
          <w:rFonts w:ascii="Invesco Interstate Light" w:eastAsia="MS Mincho" w:hAnsi="Invesco Interstate Light"/>
          <w:i/>
          <w:iCs/>
          <w:lang w:eastAsia="ja-JP"/>
        </w:rPr>
        <w:t>Invesco</w:t>
      </w:r>
      <w:proofErr w:type="spellEnd"/>
      <w:r w:rsidRPr="00B122C7">
        <w:rPr>
          <w:rFonts w:ascii="Invesco Interstate Light" w:eastAsia="MS Mincho" w:hAnsi="Invesco Interstate Light"/>
          <w:i/>
          <w:iCs/>
          <w:lang w:eastAsia="ja-JP"/>
        </w:rPr>
        <w:t xml:space="preserve"> k 30. 4. 2024</w:t>
      </w:r>
      <w:r>
        <w:rPr>
          <w:rFonts w:ascii="Invesco Interstate Light" w:eastAsia="MS Mincho" w:hAnsi="Invesco Interstate Light"/>
          <w:i/>
          <w:iCs/>
          <w:lang w:eastAsia="ja-JP"/>
        </w:rPr>
        <w:t>.</w:t>
      </w:r>
    </w:p>
    <w:p w14:paraId="53B94354" w14:textId="77777777" w:rsidR="00B122C7" w:rsidRPr="00BA5183" w:rsidRDefault="00B122C7" w:rsidP="00BA5183">
      <w:pPr>
        <w:spacing w:line="360" w:lineRule="auto"/>
        <w:jc w:val="both"/>
        <w:rPr>
          <w:rFonts w:ascii="Invesco Interstate Light" w:hAnsi="Invesco Interstate Light" w:cs="Arial"/>
          <w:color w:val="000000"/>
          <w:sz w:val="22"/>
          <w:szCs w:val="22"/>
          <w:lang w:eastAsia="cs-CZ"/>
        </w:rPr>
      </w:pPr>
    </w:p>
    <w:p w14:paraId="68D03192" w14:textId="6603BCAC" w:rsidR="00B122C7" w:rsidRDefault="00B122C7" w:rsidP="00684090">
      <w:pPr>
        <w:spacing w:line="360" w:lineRule="auto"/>
        <w:jc w:val="both"/>
        <w:rPr>
          <w:rFonts w:ascii="Invesco Interstate Light" w:hAnsi="Invesco Interstate Light" w:cs="Arial"/>
          <w:color w:val="000000"/>
          <w:sz w:val="22"/>
          <w:szCs w:val="22"/>
          <w:lang w:eastAsia="cs-CZ"/>
        </w:rPr>
      </w:pPr>
      <w:r w:rsidRPr="00B122C7">
        <w:rPr>
          <w:rFonts w:ascii="Invesco Interstate Light" w:hAnsi="Invesco Interstate Light" w:cs="Arial"/>
          <w:color w:val="000000"/>
          <w:sz w:val="22"/>
          <w:szCs w:val="22"/>
          <w:lang w:eastAsia="cs-CZ"/>
        </w:rPr>
        <w:t xml:space="preserve">Po silnějších datech z průzkumu ve zpracovatelském průmyslu následovala také slušná zpráva o zaměstnanosti, která zvýšila výnosy amerických státních dluhopisů. Byla to ale data o inflaci, která skutečně změnila názor na načasování prvního snížení sazeb. Celkové i jádrové indexy spotřebitelských cen překonaly očekávání trhu a ukázaly, že inflace nepokračuje v poklesu směrem k cíli. To vedlo předsedu </w:t>
      </w:r>
      <w:proofErr w:type="spellStart"/>
      <w:r w:rsidRPr="00B122C7">
        <w:rPr>
          <w:rFonts w:ascii="Invesco Interstate Light" w:hAnsi="Invesco Interstate Light" w:cs="Arial"/>
          <w:color w:val="000000"/>
          <w:sz w:val="22"/>
          <w:szCs w:val="22"/>
          <w:lang w:eastAsia="cs-CZ"/>
        </w:rPr>
        <w:t>Fedu</w:t>
      </w:r>
      <w:proofErr w:type="spellEnd"/>
      <w:r w:rsidRPr="00B122C7">
        <w:rPr>
          <w:rFonts w:ascii="Invesco Interstate Light" w:hAnsi="Invesco Interstate Light" w:cs="Arial"/>
          <w:color w:val="000000"/>
          <w:sz w:val="22"/>
          <w:szCs w:val="22"/>
          <w:lang w:eastAsia="cs-CZ"/>
        </w:rPr>
        <w:t xml:space="preserve"> </w:t>
      </w:r>
      <w:proofErr w:type="spellStart"/>
      <w:r w:rsidRPr="00B122C7">
        <w:rPr>
          <w:rFonts w:ascii="Invesco Interstate Light" w:hAnsi="Invesco Interstate Light" w:cs="Arial"/>
          <w:color w:val="000000"/>
          <w:sz w:val="22"/>
          <w:szCs w:val="22"/>
          <w:lang w:eastAsia="cs-CZ"/>
        </w:rPr>
        <w:t>Powella</w:t>
      </w:r>
      <w:proofErr w:type="spellEnd"/>
      <w:r w:rsidRPr="00B122C7">
        <w:rPr>
          <w:rFonts w:ascii="Invesco Interstate Light" w:hAnsi="Invesco Interstate Light" w:cs="Arial"/>
          <w:color w:val="000000"/>
          <w:sz w:val="22"/>
          <w:szCs w:val="22"/>
          <w:lang w:eastAsia="cs-CZ"/>
        </w:rPr>
        <w:t xml:space="preserve"> k signalizaci, že sazby by mohly zůstat vyšší po delší dobu, dokud nebude jistější, že inflace pokračuje v poklesu blíž k americkému dlouhodobému cíli. Tlak na růst výnosů státních dluhopisů přetrvával i na konci měsíce, kdy jádrový index cen PCE rovněž vzrostl více, než se očekávalo. Výnosy desetiletých státních dluhopisů </w:t>
      </w:r>
      <w:r w:rsidRPr="00B122C7">
        <w:rPr>
          <w:rFonts w:ascii="Invesco Interstate Light" w:hAnsi="Invesco Interstate Light" w:cs="Arial"/>
          <w:color w:val="000000"/>
          <w:sz w:val="22"/>
          <w:szCs w:val="22"/>
          <w:lang w:eastAsia="cs-CZ"/>
        </w:rPr>
        <w:lastRenderedPageBreak/>
        <w:t>skončily měsíc o 48 bazických bodů výše, když se během měsíce poprvé od začátku listopadu zvýšily nad 4,7 %. Ačkoli se zlomové míry inflace rozšířily, špatně si vedly také TIPS, jejichž desetileté reálné výnosy skončily rovněž o 40 bazických bodů výše.</w:t>
      </w:r>
    </w:p>
    <w:p w14:paraId="1B2DA857" w14:textId="77777777" w:rsidR="00684090" w:rsidRPr="00684090" w:rsidRDefault="00684090" w:rsidP="00684090">
      <w:pPr>
        <w:spacing w:line="360" w:lineRule="auto"/>
        <w:jc w:val="both"/>
        <w:rPr>
          <w:rFonts w:ascii="Invesco Interstate Light" w:hAnsi="Invesco Interstate Light" w:cs="Arial"/>
          <w:color w:val="000000"/>
          <w:sz w:val="22"/>
          <w:szCs w:val="22"/>
          <w:lang w:eastAsia="cs-CZ"/>
        </w:rPr>
      </w:pPr>
    </w:p>
    <w:p w14:paraId="35C5B318" w14:textId="6F033334" w:rsidR="00B122C7" w:rsidRDefault="00B122C7" w:rsidP="00B122C7">
      <w:pPr>
        <w:spacing w:line="240" w:lineRule="auto"/>
        <w:rPr>
          <w:rFonts w:ascii="Invesco Interstate Light" w:hAnsi="Invesco Interstate Light"/>
          <w:b/>
          <w:bCs/>
          <w:sz w:val="22"/>
          <w:szCs w:val="22"/>
        </w:rPr>
      </w:pPr>
      <w:r w:rsidRPr="00B122C7">
        <w:rPr>
          <w:rFonts w:ascii="Invesco Interstate Light" w:hAnsi="Invesco Interstate Light"/>
          <w:b/>
          <w:bCs/>
          <w:sz w:val="22"/>
          <w:szCs w:val="22"/>
        </w:rPr>
        <w:t>Úvěry investičního stupně</w:t>
      </w:r>
    </w:p>
    <w:p w14:paraId="69788DFB" w14:textId="77777777" w:rsidR="00B122C7" w:rsidRDefault="00B122C7" w:rsidP="00B122C7">
      <w:pPr>
        <w:spacing w:line="240" w:lineRule="auto"/>
        <w:rPr>
          <w:rFonts w:ascii="Invesco Interstate Light" w:hAnsi="Invesco Interstate Light"/>
          <w:b/>
          <w:bCs/>
          <w:sz w:val="22"/>
          <w:szCs w:val="22"/>
        </w:rPr>
      </w:pPr>
    </w:p>
    <w:p w14:paraId="0F18822C" w14:textId="77777777" w:rsidR="00B122C7" w:rsidRPr="00B122C7" w:rsidRDefault="00B122C7" w:rsidP="00B122C7">
      <w:pPr>
        <w:spacing w:line="360" w:lineRule="auto"/>
        <w:jc w:val="both"/>
        <w:rPr>
          <w:rFonts w:ascii="Invesco Interstate Light" w:hAnsi="Invesco Interstate Light" w:cs="Arial"/>
          <w:color w:val="000000"/>
          <w:sz w:val="22"/>
          <w:szCs w:val="22"/>
          <w:lang w:eastAsia="cs-CZ"/>
        </w:rPr>
      </w:pPr>
      <w:r w:rsidRPr="00B122C7">
        <w:rPr>
          <w:rFonts w:ascii="Invesco Interstate Light" w:hAnsi="Invesco Interstate Light" w:cs="Arial"/>
          <w:color w:val="000000"/>
          <w:sz w:val="22"/>
          <w:szCs w:val="22"/>
          <w:lang w:eastAsia="cs-CZ"/>
        </w:rPr>
        <w:t>Spready investičního stupně se v dubnu pohybovaly ve vytyčeném rozmezí, protože v centru pozornosti byla především inflace a měnová politika. Obavy z dopadu, který by měla vyšší měnová politika na delší období na ekonomiku, způsobily v polovině měsíce určité rozšíření spreadů. Akciové trhy také zaznamenaly malý výprodej, ale volatilita se v druhé polovině měsíce snížila, riziková aktiva se odrazila ode dna a úvěrové spready se zúžily a na konci měsíce se přiblížily úrovni z konce března.</w:t>
      </w:r>
    </w:p>
    <w:p w14:paraId="7E61F59D" w14:textId="77777777" w:rsidR="00B122C7" w:rsidRPr="00B122C7" w:rsidRDefault="00B122C7" w:rsidP="00B122C7">
      <w:pPr>
        <w:spacing w:line="240" w:lineRule="auto"/>
        <w:rPr>
          <w:rFonts w:ascii="Invesco Interstate Light" w:hAnsi="Invesco Interstate Light"/>
          <w:b/>
          <w:bCs/>
          <w:sz w:val="22"/>
          <w:szCs w:val="22"/>
        </w:rPr>
      </w:pPr>
    </w:p>
    <w:p w14:paraId="4E7E4BBC" w14:textId="620B4814" w:rsidR="00B122C7" w:rsidRPr="00B122C7" w:rsidRDefault="00B122C7" w:rsidP="00B122C7">
      <w:pPr>
        <w:spacing w:line="240" w:lineRule="auto"/>
        <w:rPr>
          <w:rFonts w:ascii="Invesco Interstate Light" w:hAnsi="Invesco Interstate Light"/>
          <w:b/>
          <w:bCs/>
          <w:sz w:val="22"/>
          <w:szCs w:val="22"/>
        </w:rPr>
      </w:pPr>
      <w:r>
        <w:rPr>
          <w:rFonts w:ascii="Invesco Interstate Light" w:hAnsi="Invesco Interstate Light"/>
          <w:b/>
          <w:bCs/>
          <w:sz w:val="22"/>
          <w:szCs w:val="22"/>
        </w:rPr>
        <w:t xml:space="preserve">Graf 3: </w:t>
      </w:r>
      <w:r w:rsidRPr="00B122C7">
        <w:rPr>
          <w:rFonts w:ascii="Invesco Interstate Light" w:hAnsi="Invesco Interstate Light"/>
          <w:b/>
          <w:bCs/>
          <w:sz w:val="22"/>
          <w:szCs w:val="22"/>
        </w:rPr>
        <w:t>Úvěry investičního stupně</w:t>
      </w:r>
      <w:r>
        <w:rPr>
          <w:rFonts w:ascii="Invesco Interstate Light" w:hAnsi="Invesco Interstate Light"/>
          <w:b/>
          <w:bCs/>
          <w:sz w:val="22"/>
          <w:szCs w:val="22"/>
        </w:rPr>
        <w:t xml:space="preserve"> </w:t>
      </w:r>
      <w:r w:rsidRPr="00B122C7">
        <w:rPr>
          <w:rFonts w:ascii="Invesco Interstate Light" w:hAnsi="Invesco Interstate Light"/>
          <w:b/>
          <w:bCs/>
          <w:sz w:val="22"/>
          <w:szCs w:val="22"/>
        </w:rPr>
        <w:t>– duben 2024</w:t>
      </w:r>
    </w:p>
    <w:p w14:paraId="3D34F3B8" w14:textId="77777777" w:rsidR="00B122C7" w:rsidRDefault="00B122C7" w:rsidP="00B122C7">
      <w:pPr>
        <w:spacing w:line="240" w:lineRule="auto"/>
        <w:rPr>
          <w:rFonts w:ascii="Invesco Interstate Light" w:eastAsia="MS Mincho" w:hAnsi="Invesco Interstate Light"/>
          <w:b/>
          <w:bCs/>
          <w:sz w:val="22"/>
          <w:szCs w:val="22"/>
          <w:lang w:eastAsia="ja-JP"/>
        </w:rPr>
      </w:pPr>
    </w:p>
    <w:p w14:paraId="6C568C8E" w14:textId="4F5B0777" w:rsidR="00B122C7" w:rsidRDefault="00B122C7" w:rsidP="00B122C7">
      <w:pPr>
        <w:spacing w:line="240" w:lineRule="auto"/>
        <w:rPr>
          <w:rFonts w:ascii="Invesco Interstate Light" w:hAnsi="Invesco Interstate Light"/>
          <w:b/>
          <w:bCs/>
          <w:sz w:val="22"/>
          <w:szCs w:val="22"/>
        </w:rPr>
      </w:pPr>
      <w:r w:rsidRPr="003545F9">
        <w:rPr>
          <w:rFonts w:ascii="Arial" w:hAnsi="Arial" w:cs="Arial"/>
          <w:noProof/>
          <w:color w:val="000000"/>
          <w:lang w:eastAsia="cs-CZ"/>
        </w:rPr>
        <w:drawing>
          <wp:inline distT="0" distB="0" distL="0" distR="0" wp14:anchorId="723A3F03" wp14:editId="3F904DAD">
            <wp:extent cx="5760720" cy="3240405"/>
            <wp:effectExtent l="0" t="0" r="0" b="0"/>
            <wp:docPr id="851460068" name="Obrázek 4" descr="Investment Grade cr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vestment Grade cred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1CBD4B3" w14:textId="77777777" w:rsidR="00B122C7" w:rsidRPr="00B122C7" w:rsidRDefault="00B122C7" w:rsidP="00B122C7">
      <w:pPr>
        <w:spacing w:line="240" w:lineRule="auto"/>
        <w:jc w:val="right"/>
        <w:rPr>
          <w:rFonts w:ascii="Invesco Interstate Light" w:eastAsia="MS Mincho" w:hAnsi="Invesco Interstate Light"/>
          <w:i/>
          <w:iCs/>
          <w:lang w:eastAsia="ja-JP"/>
        </w:rPr>
      </w:pPr>
      <w:r w:rsidRPr="00B122C7">
        <w:rPr>
          <w:rFonts w:ascii="Invesco Interstate Light" w:eastAsia="MS Mincho" w:hAnsi="Invesco Interstate Light"/>
          <w:i/>
          <w:iCs/>
          <w:lang w:eastAsia="ja-JP"/>
        </w:rPr>
        <w:t xml:space="preserve">Zdroj: </w:t>
      </w:r>
      <w:proofErr w:type="spellStart"/>
      <w:r w:rsidRPr="00B122C7">
        <w:rPr>
          <w:rFonts w:ascii="Invesco Interstate Light" w:eastAsia="MS Mincho" w:hAnsi="Invesco Interstate Light"/>
          <w:i/>
          <w:iCs/>
          <w:lang w:eastAsia="ja-JP"/>
        </w:rPr>
        <w:t>Bloomberg</w:t>
      </w:r>
      <w:proofErr w:type="spellEnd"/>
      <w:r w:rsidRPr="00B122C7">
        <w:rPr>
          <w:rFonts w:ascii="Invesco Interstate Light" w:eastAsia="MS Mincho" w:hAnsi="Invesco Interstate Light"/>
          <w:i/>
          <w:iCs/>
          <w:lang w:eastAsia="ja-JP"/>
        </w:rPr>
        <w:t xml:space="preserve">, </w:t>
      </w:r>
      <w:proofErr w:type="spellStart"/>
      <w:r w:rsidRPr="00B122C7">
        <w:rPr>
          <w:rFonts w:ascii="Invesco Interstate Light" w:eastAsia="MS Mincho" w:hAnsi="Invesco Interstate Light"/>
          <w:i/>
          <w:iCs/>
          <w:lang w:eastAsia="ja-JP"/>
        </w:rPr>
        <w:t>Invesco</w:t>
      </w:r>
      <w:proofErr w:type="spellEnd"/>
      <w:r w:rsidRPr="00B122C7">
        <w:rPr>
          <w:rFonts w:ascii="Invesco Interstate Light" w:eastAsia="MS Mincho" w:hAnsi="Invesco Interstate Light"/>
          <w:i/>
          <w:iCs/>
          <w:lang w:eastAsia="ja-JP"/>
        </w:rPr>
        <w:t xml:space="preserve"> k 30. 4. 2024</w:t>
      </w:r>
    </w:p>
    <w:p w14:paraId="7FB6C5B6" w14:textId="77777777" w:rsidR="00B122C7" w:rsidRDefault="00B122C7" w:rsidP="00B122C7">
      <w:pPr>
        <w:spacing w:line="240" w:lineRule="auto"/>
        <w:rPr>
          <w:rFonts w:ascii="Invesco Interstate Light" w:hAnsi="Invesco Interstate Light"/>
          <w:b/>
          <w:bCs/>
          <w:sz w:val="22"/>
          <w:szCs w:val="22"/>
        </w:rPr>
      </w:pPr>
    </w:p>
    <w:p w14:paraId="2CBCA13F" w14:textId="77777777" w:rsidR="00684090" w:rsidRDefault="00684090" w:rsidP="00B122C7">
      <w:pPr>
        <w:spacing w:line="240" w:lineRule="auto"/>
        <w:rPr>
          <w:rFonts w:ascii="Invesco Interstate Light" w:hAnsi="Invesco Interstate Light"/>
          <w:b/>
          <w:bCs/>
          <w:sz w:val="22"/>
          <w:szCs w:val="22"/>
        </w:rPr>
      </w:pPr>
    </w:p>
    <w:p w14:paraId="409A1A3F" w14:textId="77777777" w:rsidR="00684090" w:rsidRDefault="00684090" w:rsidP="00B122C7">
      <w:pPr>
        <w:spacing w:line="240" w:lineRule="auto"/>
        <w:rPr>
          <w:rFonts w:ascii="Invesco Interstate Light" w:hAnsi="Invesco Interstate Light"/>
          <w:b/>
          <w:bCs/>
          <w:sz w:val="22"/>
          <w:szCs w:val="22"/>
        </w:rPr>
      </w:pPr>
    </w:p>
    <w:p w14:paraId="24E9C331" w14:textId="77777777" w:rsidR="00684090" w:rsidRDefault="00684090" w:rsidP="00B122C7">
      <w:pPr>
        <w:spacing w:line="240" w:lineRule="auto"/>
        <w:rPr>
          <w:rFonts w:ascii="Invesco Interstate Light" w:hAnsi="Invesco Interstate Light"/>
          <w:b/>
          <w:bCs/>
          <w:sz w:val="22"/>
          <w:szCs w:val="22"/>
        </w:rPr>
      </w:pPr>
    </w:p>
    <w:p w14:paraId="7DDAD1E7" w14:textId="77777777" w:rsidR="00684090" w:rsidRDefault="00684090" w:rsidP="00B122C7">
      <w:pPr>
        <w:spacing w:line="240" w:lineRule="auto"/>
        <w:rPr>
          <w:rFonts w:ascii="Invesco Interstate Light" w:hAnsi="Invesco Interstate Light"/>
          <w:b/>
          <w:bCs/>
          <w:sz w:val="22"/>
          <w:szCs w:val="22"/>
        </w:rPr>
      </w:pPr>
    </w:p>
    <w:p w14:paraId="58183F94" w14:textId="77777777" w:rsidR="00684090" w:rsidRDefault="00684090" w:rsidP="00B122C7">
      <w:pPr>
        <w:spacing w:line="240" w:lineRule="auto"/>
        <w:rPr>
          <w:rFonts w:ascii="Invesco Interstate Light" w:hAnsi="Invesco Interstate Light"/>
          <w:b/>
          <w:bCs/>
          <w:sz w:val="22"/>
          <w:szCs w:val="22"/>
        </w:rPr>
      </w:pPr>
    </w:p>
    <w:p w14:paraId="3D236618" w14:textId="77777777" w:rsidR="00684090" w:rsidRDefault="00684090" w:rsidP="00B122C7">
      <w:pPr>
        <w:spacing w:line="240" w:lineRule="auto"/>
        <w:rPr>
          <w:rFonts w:ascii="Invesco Interstate Light" w:hAnsi="Invesco Interstate Light"/>
          <w:b/>
          <w:bCs/>
          <w:sz w:val="22"/>
          <w:szCs w:val="22"/>
        </w:rPr>
      </w:pPr>
    </w:p>
    <w:p w14:paraId="1AE20500" w14:textId="77777777" w:rsidR="00684090" w:rsidRDefault="00684090" w:rsidP="00B122C7">
      <w:pPr>
        <w:spacing w:line="240" w:lineRule="auto"/>
        <w:rPr>
          <w:rFonts w:ascii="Invesco Interstate Light" w:hAnsi="Invesco Interstate Light"/>
          <w:b/>
          <w:bCs/>
          <w:sz w:val="22"/>
          <w:szCs w:val="22"/>
        </w:rPr>
      </w:pPr>
    </w:p>
    <w:p w14:paraId="05A5EBCC" w14:textId="77777777" w:rsidR="00684090" w:rsidRDefault="00684090" w:rsidP="00B122C7">
      <w:pPr>
        <w:spacing w:line="240" w:lineRule="auto"/>
        <w:rPr>
          <w:rFonts w:ascii="Invesco Interstate Light" w:hAnsi="Invesco Interstate Light"/>
          <w:b/>
          <w:bCs/>
          <w:sz w:val="22"/>
          <w:szCs w:val="22"/>
        </w:rPr>
      </w:pPr>
    </w:p>
    <w:p w14:paraId="6C08B8ED" w14:textId="41D96FEF" w:rsidR="00684090" w:rsidRDefault="00684090" w:rsidP="00684090">
      <w:pPr>
        <w:spacing w:line="240" w:lineRule="auto"/>
        <w:rPr>
          <w:rFonts w:ascii="Invesco Interstate Light" w:hAnsi="Invesco Interstate Light"/>
          <w:b/>
          <w:bCs/>
          <w:sz w:val="22"/>
          <w:szCs w:val="22"/>
        </w:rPr>
      </w:pPr>
      <w:r w:rsidRPr="00B122C7">
        <w:rPr>
          <w:rFonts w:ascii="Invesco Interstate Light" w:hAnsi="Invesco Interstate Light"/>
          <w:b/>
          <w:bCs/>
          <w:sz w:val="22"/>
          <w:szCs w:val="22"/>
        </w:rPr>
        <w:lastRenderedPageBreak/>
        <w:t>Úvěry s vysokým výnosem a podřízené úvěry</w:t>
      </w:r>
      <w:r>
        <w:rPr>
          <w:rFonts w:ascii="Invesco Interstate Light" w:hAnsi="Invesco Interstate Light"/>
          <w:b/>
          <w:bCs/>
          <w:sz w:val="22"/>
          <w:szCs w:val="22"/>
        </w:rPr>
        <w:t xml:space="preserve"> </w:t>
      </w:r>
    </w:p>
    <w:p w14:paraId="401D1B8B" w14:textId="77777777" w:rsidR="00684090" w:rsidRDefault="00684090" w:rsidP="00684090">
      <w:pPr>
        <w:spacing w:line="240" w:lineRule="auto"/>
        <w:rPr>
          <w:rFonts w:ascii="Invesco Interstate Light" w:hAnsi="Invesco Interstate Light"/>
          <w:b/>
          <w:bCs/>
          <w:sz w:val="22"/>
          <w:szCs w:val="22"/>
        </w:rPr>
      </w:pPr>
    </w:p>
    <w:p w14:paraId="6E5AC4C4" w14:textId="7EA14B94" w:rsidR="00684090" w:rsidRPr="00684090" w:rsidRDefault="00684090" w:rsidP="00684090">
      <w:pPr>
        <w:spacing w:line="360" w:lineRule="auto"/>
        <w:jc w:val="both"/>
        <w:rPr>
          <w:rFonts w:ascii="Invesco Interstate Light" w:hAnsi="Invesco Interstate Light" w:cs="Arial"/>
          <w:color w:val="000000"/>
          <w:sz w:val="22"/>
          <w:szCs w:val="22"/>
          <w:lang w:eastAsia="cs-CZ"/>
        </w:rPr>
      </w:pPr>
      <w:r w:rsidRPr="00684090">
        <w:rPr>
          <w:rFonts w:ascii="Invesco Interstate Light" w:hAnsi="Invesco Interstate Light" w:cs="Arial"/>
          <w:color w:val="000000"/>
          <w:sz w:val="22"/>
          <w:szCs w:val="22"/>
          <w:lang w:eastAsia="cs-CZ"/>
        </w:rPr>
        <w:t xml:space="preserve">Některá idiosynkratická rizika na evropském trhu s vysokými výnosy způsobila, že se spready, oproti těm nejtěsnějším pozorovaným během března, v dubnu rozšířily, což v kombinaci se změnou výhledu měnové politiky vedlo k dalšímu rozšíření spreadů v polovině měsíce. Přestože se ve druhé polovině měsíce částečně zotavily, skončily eurové spready s vysokým výnosem v dubnu o 16 bb vyšší. Americké </w:t>
      </w:r>
      <w:proofErr w:type="spellStart"/>
      <w:r w:rsidRPr="00684090">
        <w:rPr>
          <w:rFonts w:ascii="Invesco Interstate Light" w:hAnsi="Invesco Interstate Light" w:cs="Arial"/>
          <w:color w:val="000000"/>
          <w:sz w:val="22"/>
          <w:szCs w:val="22"/>
          <w:lang w:eastAsia="cs-CZ"/>
        </w:rPr>
        <w:t>high</w:t>
      </w:r>
      <w:proofErr w:type="spellEnd"/>
      <w:r w:rsidRPr="00684090">
        <w:rPr>
          <w:rFonts w:ascii="Invesco Interstate Light" w:hAnsi="Invesco Interstate Light" w:cs="Arial"/>
          <w:color w:val="000000"/>
          <w:sz w:val="22"/>
          <w:szCs w:val="22"/>
          <w:lang w:eastAsia="cs-CZ"/>
        </w:rPr>
        <w:t xml:space="preserve"> </w:t>
      </w:r>
      <w:proofErr w:type="spellStart"/>
      <w:r w:rsidRPr="00684090">
        <w:rPr>
          <w:rFonts w:ascii="Invesco Interstate Light" w:hAnsi="Invesco Interstate Light" w:cs="Arial"/>
          <w:color w:val="000000"/>
          <w:sz w:val="22"/>
          <w:szCs w:val="22"/>
          <w:lang w:eastAsia="cs-CZ"/>
        </w:rPr>
        <w:t>yield</w:t>
      </w:r>
      <w:proofErr w:type="spellEnd"/>
      <w:r w:rsidRPr="00684090">
        <w:rPr>
          <w:rFonts w:ascii="Invesco Interstate Light" w:hAnsi="Invesco Interstate Light" w:cs="Arial"/>
          <w:color w:val="000000"/>
          <w:sz w:val="22"/>
          <w:szCs w:val="22"/>
          <w:lang w:eastAsia="cs-CZ"/>
        </w:rPr>
        <w:t xml:space="preserve"> spready byly méně volatilní a měsíc zakončily jen o 2 bb širší. U podřízeného dluhu bylo sice zvýšení spreadů bylo poměrně utlumené, ale spready u dluhopisů AT1 (-2 bb) a </w:t>
      </w:r>
      <w:proofErr w:type="spellStart"/>
      <w:r w:rsidRPr="00684090">
        <w:rPr>
          <w:rFonts w:ascii="Invesco Interstate Light" w:hAnsi="Invesco Interstate Light" w:cs="Arial"/>
          <w:color w:val="000000"/>
          <w:sz w:val="22"/>
          <w:szCs w:val="22"/>
          <w:lang w:eastAsia="cs-CZ"/>
        </w:rPr>
        <w:t>eurohybridů</w:t>
      </w:r>
      <w:proofErr w:type="spellEnd"/>
      <w:r w:rsidRPr="00684090">
        <w:rPr>
          <w:rFonts w:ascii="Invesco Interstate Light" w:hAnsi="Invesco Interstate Light" w:cs="Arial"/>
          <w:color w:val="000000"/>
          <w:sz w:val="22"/>
          <w:szCs w:val="22"/>
          <w:lang w:eastAsia="cs-CZ"/>
        </w:rPr>
        <w:t xml:space="preserve"> (-7 bb) nadále drží relativně těsně.</w:t>
      </w:r>
    </w:p>
    <w:p w14:paraId="37C7A154" w14:textId="77777777" w:rsidR="00684090" w:rsidRDefault="00684090" w:rsidP="00B122C7">
      <w:pPr>
        <w:spacing w:line="240" w:lineRule="auto"/>
        <w:rPr>
          <w:rFonts w:ascii="Invesco Interstate Light" w:hAnsi="Invesco Interstate Light"/>
          <w:b/>
          <w:bCs/>
          <w:sz w:val="22"/>
          <w:szCs w:val="22"/>
        </w:rPr>
      </w:pPr>
    </w:p>
    <w:p w14:paraId="3BDD1FD4" w14:textId="25AB4D77" w:rsidR="00B122C7" w:rsidRDefault="00B122C7" w:rsidP="00B122C7">
      <w:pPr>
        <w:spacing w:line="240" w:lineRule="auto"/>
        <w:rPr>
          <w:rFonts w:ascii="Invesco Interstate Light" w:hAnsi="Invesco Interstate Light"/>
          <w:b/>
          <w:bCs/>
          <w:sz w:val="22"/>
          <w:szCs w:val="22"/>
        </w:rPr>
      </w:pPr>
      <w:r>
        <w:rPr>
          <w:rFonts w:ascii="Invesco Interstate Light" w:hAnsi="Invesco Interstate Light"/>
          <w:b/>
          <w:bCs/>
          <w:sz w:val="22"/>
          <w:szCs w:val="22"/>
        </w:rPr>
        <w:t xml:space="preserve">Graf 4: </w:t>
      </w:r>
      <w:r w:rsidRPr="00B122C7">
        <w:rPr>
          <w:rFonts w:ascii="Invesco Interstate Light" w:hAnsi="Invesco Interstate Light"/>
          <w:b/>
          <w:bCs/>
          <w:sz w:val="22"/>
          <w:szCs w:val="22"/>
        </w:rPr>
        <w:t>Úvěry s vysokým výnosem a podřízené úvěry</w:t>
      </w:r>
      <w:r w:rsidR="00684090">
        <w:rPr>
          <w:rFonts w:ascii="Invesco Interstate Light" w:hAnsi="Invesco Interstate Light"/>
          <w:b/>
          <w:bCs/>
          <w:sz w:val="22"/>
          <w:szCs w:val="22"/>
        </w:rPr>
        <w:t xml:space="preserve"> </w:t>
      </w:r>
      <w:r w:rsidR="00684090" w:rsidRPr="00B122C7">
        <w:rPr>
          <w:rFonts w:ascii="Invesco Interstate Light" w:hAnsi="Invesco Interstate Light"/>
          <w:b/>
          <w:bCs/>
          <w:sz w:val="22"/>
          <w:szCs w:val="22"/>
        </w:rPr>
        <w:t>– duben 2024</w:t>
      </w:r>
    </w:p>
    <w:p w14:paraId="1C7AD7D2" w14:textId="77777777" w:rsidR="00B122C7" w:rsidRDefault="00B122C7" w:rsidP="00B122C7">
      <w:pPr>
        <w:spacing w:line="240" w:lineRule="auto"/>
        <w:rPr>
          <w:rFonts w:ascii="Invesco Interstate Light" w:hAnsi="Invesco Interstate Light"/>
          <w:b/>
          <w:bCs/>
          <w:sz w:val="22"/>
          <w:szCs w:val="22"/>
        </w:rPr>
      </w:pPr>
    </w:p>
    <w:p w14:paraId="6CA7AF7E" w14:textId="77777777" w:rsidR="00B122C7" w:rsidRDefault="00B122C7" w:rsidP="00B122C7">
      <w:pPr>
        <w:spacing w:line="360" w:lineRule="auto"/>
        <w:jc w:val="both"/>
        <w:rPr>
          <w:rFonts w:ascii="Invesco Interstate Light" w:hAnsi="Invesco Interstate Light" w:cs="Arial"/>
          <w:color w:val="000000"/>
          <w:sz w:val="22"/>
          <w:szCs w:val="22"/>
          <w:lang w:eastAsia="cs-CZ"/>
        </w:rPr>
      </w:pPr>
      <w:r w:rsidRPr="003545F9">
        <w:rPr>
          <w:rFonts w:ascii="Arial" w:hAnsi="Arial" w:cs="Arial"/>
          <w:noProof/>
          <w:color w:val="000000"/>
          <w:lang w:eastAsia="cs-CZ"/>
        </w:rPr>
        <w:drawing>
          <wp:inline distT="0" distB="0" distL="0" distR="0" wp14:anchorId="732184E0" wp14:editId="67F36BA6">
            <wp:extent cx="5760720" cy="3240405"/>
            <wp:effectExtent l="0" t="0" r="0" b="0"/>
            <wp:docPr id="626785951" name="Obrázek 3" descr="High Yield and Subordinated Credit – April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 Yield and Subordinated Credit – April 20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2DB68113" w14:textId="77777777" w:rsidR="00B122C7" w:rsidRPr="00B122C7" w:rsidRDefault="00B122C7" w:rsidP="00B122C7">
      <w:pPr>
        <w:spacing w:line="240" w:lineRule="auto"/>
        <w:jc w:val="right"/>
        <w:rPr>
          <w:rFonts w:ascii="Invesco Interstate Light" w:eastAsia="MS Mincho" w:hAnsi="Invesco Interstate Light"/>
          <w:i/>
          <w:iCs/>
          <w:lang w:eastAsia="ja-JP"/>
        </w:rPr>
      </w:pPr>
      <w:r w:rsidRPr="00B122C7">
        <w:rPr>
          <w:rFonts w:ascii="Invesco Interstate Light" w:eastAsia="MS Mincho" w:hAnsi="Invesco Interstate Light"/>
          <w:i/>
          <w:iCs/>
          <w:lang w:eastAsia="ja-JP"/>
        </w:rPr>
        <w:t xml:space="preserve">Zdroj: </w:t>
      </w:r>
      <w:proofErr w:type="spellStart"/>
      <w:r w:rsidRPr="00B122C7">
        <w:rPr>
          <w:rFonts w:ascii="Invesco Interstate Light" w:eastAsia="MS Mincho" w:hAnsi="Invesco Interstate Light"/>
          <w:i/>
          <w:iCs/>
          <w:lang w:eastAsia="ja-JP"/>
        </w:rPr>
        <w:t>Bloomberg</w:t>
      </w:r>
      <w:proofErr w:type="spellEnd"/>
      <w:r w:rsidRPr="00B122C7">
        <w:rPr>
          <w:rFonts w:ascii="Invesco Interstate Light" w:eastAsia="MS Mincho" w:hAnsi="Invesco Interstate Light"/>
          <w:i/>
          <w:iCs/>
          <w:lang w:eastAsia="ja-JP"/>
        </w:rPr>
        <w:t xml:space="preserve">, </w:t>
      </w:r>
      <w:proofErr w:type="spellStart"/>
      <w:r w:rsidRPr="00B122C7">
        <w:rPr>
          <w:rFonts w:ascii="Invesco Interstate Light" w:eastAsia="MS Mincho" w:hAnsi="Invesco Interstate Light"/>
          <w:i/>
          <w:iCs/>
          <w:lang w:eastAsia="ja-JP"/>
        </w:rPr>
        <w:t>Invesco</w:t>
      </w:r>
      <w:proofErr w:type="spellEnd"/>
      <w:r w:rsidRPr="00B122C7">
        <w:rPr>
          <w:rFonts w:ascii="Invesco Interstate Light" w:eastAsia="MS Mincho" w:hAnsi="Invesco Interstate Light"/>
          <w:i/>
          <w:iCs/>
          <w:lang w:eastAsia="ja-JP"/>
        </w:rPr>
        <w:t xml:space="preserve"> k 30. 4. 2024</w:t>
      </w:r>
    </w:p>
    <w:p w14:paraId="0D9F3ED1" w14:textId="77777777" w:rsidR="00B122C7" w:rsidRDefault="00B122C7" w:rsidP="00B122C7">
      <w:pPr>
        <w:spacing w:line="240" w:lineRule="auto"/>
        <w:rPr>
          <w:rFonts w:ascii="Arial" w:hAnsi="Arial" w:cs="Arial"/>
          <w:b/>
          <w:bCs/>
          <w:color w:val="000000"/>
          <w:lang w:eastAsia="cs-CZ"/>
        </w:rPr>
      </w:pPr>
    </w:p>
    <w:p w14:paraId="23C8C998" w14:textId="324B4B94" w:rsidR="00B122C7" w:rsidRDefault="00B122C7" w:rsidP="00B122C7">
      <w:pPr>
        <w:spacing w:line="240" w:lineRule="auto"/>
        <w:rPr>
          <w:rFonts w:ascii="Invesco Interstate Light" w:hAnsi="Invesco Interstate Light"/>
          <w:b/>
          <w:bCs/>
          <w:sz w:val="22"/>
          <w:szCs w:val="22"/>
        </w:rPr>
      </w:pPr>
      <w:r w:rsidRPr="00B122C7">
        <w:rPr>
          <w:rFonts w:ascii="Invesco Interstate Light" w:hAnsi="Invesco Interstate Light"/>
          <w:b/>
          <w:bCs/>
          <w:sz w:val="22"/>
          <w:szCs w:val="22"/>
        </w:rPr>
        <w:t>Toky do ETF s pevným výnosem</w:t>
      </w:r>
    </w:p>
    <w:p w14:paraId="7BCC2D33" w14:textId="77777777" w:rsidR="00B122C7" w:rsidRPr="00B122C7" w:rsidRDefault="00B122C7" w:rsidP="00B122C7">
      <w:pPr>
        <w:spacing w:line="240" w:lineRule="auto"/>
        <w:rPr>
          <w:rFonts w:ascii="Invesco Interstate Light" w:hAnsi="Invesco Interstate Light"/>
          <w:b/>
          <w:bCs/>
          <w:sz w:val="22"/>
          <w:szCs w:val="22"/>
        </w:rPr>
      </w:pPr>
    </w:p>
    <w:p w14:paraId="06719622" w14:textId="77777777" w:rsidR="00B122C7" w:rsidRPr="00B122C7" w:rsidRDefault="00B122C7" w:rsidP="00B122C7">
      <w:pPr>
        <w:spacing w:line="360" w:lineRule="auto"/>
        <w:jc w:val="both"/>
        <w:rPr>
          <w:rFonts w:ascii="Invesco Interstate Light" w:hAnsi="Invesco Interstate Light" w:cs="Arial"/>
          <w:color w:val="000000"/>
          <w:sz w:val="22"/>
          <w:szCs w:val="22"/>
          <w:lang w:eastAsia="cs-CZ"/>
        </w:rPr>
      </w:pPr>
      <w:r w:rsidRPr="00B122C7">
        <w:rPr>
          <w:rFonts w:ascii="Invesco Interstate Light" w:hAnsi="Invesco Interstate Light" w:cs="Arial"/>
          <w:color w:val="000000"/>
          <w:sz w:val="22"/>
          <w:szCs w:val="22"/>
          <w:lang w:eastAsia="cs-CZ"/>
        </w:rPr>
        <w:t xml:space="preserve">Příliv do ETF s pevným výnosem se v dubnu zvýšil, přičemž čistý příliv za celý rok dosáhl 5,7 miliardy amerických dolarů. V průběhu měsíce z tohoto profitovaly především třídy bezpečných aktiv, přičemž hlavní kategorie byly EUR </w:t>
      </w:r>
      <w:proofErr w:type="spellStart"/>
      <w:r w:rsidRPr="00B122C7">
        <w:rPr>
          <w:rFonts w:ascii="Invesco Interstate Light" w:hAnsi="Invesco Interstate Light" w:cs="Arial"/>
          <w:color w:val="000000"/>
          <w:sz w:val="22"/>
          <w:szCs w:val="22"/>
          <w:lang w:eastAsia="cs-CZ"/>
        </w:rPr>
        <w:t>Govts</w:t>
      </w:r>
      <w:proofErr w:type="spellEnd"/>
      <w:r w:rsidRPr="00B122C7">
        <w:rPr>
          <w:rFonts w:ascii="Invesco Interstate Light" w:hAnsi="Invesco Interstate Light" w:cs="Arial"/>
          <w:color w:val="000000"/>
          <w:sz w:val="22"/>
          <w:szCs w:val="22"/>
          <w:lang w:eastAsia="cs-CZ"/>
        </w:rPr>
        <w:t xml:space="preserve"> (2,4 mld. USD), Cash Management (1,3 mld. USD) a US </w:t>
      </w:r>
      <w:proofErr w:type="spellStart"/>
      <w:r w:rsidRPr="00B122C7">
        <w:rPr>
          <w:rFonts w:ascii="Invesco Interstate Light" w:hAnsi="Invesco Interstate Light" w:cs="Arial"/>
          <w:color w:val="000000"/>
          <w:sz w:val="22"/>
          <w:szCs w:val="22"/>
          <w:lang w:eastAsia="cs-CZ"/>
        </w:rPr>
        <w:t>Treasuries</w:t>
      </w:r>
      <w:proofErr w:type="spellEnd"/>
      <w:r w:rsidRPr="00B122C7">
        <w:rPr>
          <w:rFonts w:ascii="Invesco Interstate Light" w:hAnsi="Invesco Interstate Light" w:cs="Arial"/>
          <w:color w:val="000000"/>
          <w:sz w:val="22"/>
          <w:szCs w:val="22"/>
          <w:lang w:eastAsia="cs-CZ"/>
        </w:rPr>
        <w:t xml:space="preserve"> (1,1 mld. USD). Naopak odliv prostředků směrem pryč byly během dubna relativně malé, i když ETF IG </w:t>
      </w:r>
      <w:proofErr w:type="spellStart"/>
      <w:r w:rsidRPr="00B122C7">
        <w:rPr>
          <w:rFonts w:ascii="Invesco Interstate Light" w:hAnsi="Invesco Interstate Light" w:cs="Arial"/>
          <w:color w:val="000000"/>
          <w:sz w:val="22"/>
          <w:szCs w:val="22"/>
          <w:lang w:eastAsia="cs-CZ"/>
        </w:rPr>
        <w:t>Credit</w:t>
      </w:r>
      <w:proofErr w:type="spellEnd"/>
      <w:r w:rsidRPr="00B122C7">
        <w:rPr>
          <w:rFonts w:ascii="Invesco Interstate Light" w:hAnsi="Invesco Interstate Light" w:cs="Arial"/>
          <w:color w:val="000000"/>
          <w:sz w:val="22"/>
          <w:szCs w:val="22"/>
          <w:lang w:eastAsia="cs-CZ"/>
        </w:rPr>
        <w:t xml:space="preserve"> v EUR (-0,5 mld. USD) a USD (-0,2 mld. USD) tvořily dvě ze tří hlavních kategorií, které zaznamenaly čisté prodeje, zatímco EM </w:t>
      </w:r>
      <w:proofErr w:type="spellStart"/>
      <w:r w:rsidRPr="00B122C7">
        <w:rPr>
          <w:rFonts w:ascii="Invesco Interstate Light" w:hAnsi="Invesco Interstate Light" w:cs="Arial"/>
          <w:color w:val="000000"/>
          <w:sz w:val="22"/>
          <w:szCs w:val="22"/>
          <w:lang w:eastAsia="cs-CZ"/>
        </w:rPr>
        <w:t>Govts</w:t>
      </w:r>
      <w:proofErr w:type="spellEnd"/>
      <w:r w:rsidRPr="00B122C7">
        <w:rPr>
          <w:rFonts w:ascii="Invesco Interstate Light" w:hAnsi="Invesco Interstate Light" w:cs="Arial"/>
          <w:color w:val="000000"/>
          <w:sz w:val="22"/>
          <w:szCs w:val="22"/>
          <w:lang w:eastAsia="cs-CZ"/>
        </w:rPr>
        <w:t xml:space="preserve"> (-0,3 mld. USD) jen zůstaly v nemilosti.</w:t>
      </w:r>
    </w:p>
    <w:p w14:paraId="7F72171D" w14:textId="77777777" w:rsidR="00B122C7" w:rsidRDefault="00B122C7" w:rsidP="00B122C7">
      <w:pPr>
        <w:spacing w:line="360" w:lineRule="auto"/>
        <w:jc w:val="both"/>
        <w:rPr>
          <w:rFonts w:ascii="Invesco Interstate Light" w:hAnsi="Invesco Interstate Light" w:cs="Arial"/>
          <w:color w:val="000000"/>
          <w:sz w:val="22"/>
          <w:szCs w:val="22"/>
          <w:lang w:eastAsia="cs-CZ"/>
        </w:rPr>
      </w:pPr>
    </w:p>
    <w:p w14:paraId="09821FAA" w14:textId="496252B4" w:rsidR="00684090" w:rsidRDefault="00684090" w:rsidP="00B122C7">
      <w:pPr>
        <w:spacing w:line="360" w:lineRule="auto"/>
        <w:jc w:val="both"/>
        <w:rPr>
          <w:rFonts w:ascii="Invesco Interstate Light" w:hAnsi="Invesco Interstate Light" w:cs="Arial"/>
          <w:color w:val="000000"/>
          <w:sz w:val="22"/>
          <w:szCs w:val="22"/>
          <w:lang w:eastAsia="cs-CZ"/>
        </w:rPr>
      </w:pPr>
      <w:r w:rsidRPr="00684090">
        <w:rPr>
          <w:rFonts w:ascii="Invesco Interstate Light" w:hAnsi="Invesco Interstate Light" w:cs="Arial"/>
          <w:color w:val="000000"/>
          <w:sz w:val="22"/>
          <w:szCs w:val="22"/>
          <w:lang w:eastAsia="cs-CZ"/>
        </w:rPr>
        <w:lastRenderedPageBreak/>
        <w:t xml:space="preserve">Po březnové rallye trhy s pevným výnosem prodávaly i v dubnu. Trhy na začátku roku očekávaly 6-7 snížení sazeb ze strany </w:t>
      </w:r>
      <w:proofErr w:type="spellStart"/>
      <w:r w:rsidRPr="00684090">
        <w:rPr>
          <w:rFonts w:ascii="Invesco Interstate Light" w:hAnsi="Invesco Interstate Light" w:cs="Arial"/>
          <w:color w:val="000000"/>
          <w:sz w:val="22"/>
          <w:szCs w:val="22"/>
          <w:lang w:eastAsia="cs-CZ"/>
        </w:rPr>
        <w:t>Fedu</w:t>
      </w:r>
      <w:proofErr w:type="spellEnd"/>
      <w:r w:rsidRPr="00684090">
        <w:rPr>
          <w:rFonts w:ascii="Invesco Interstate Light" w:hAnsi="Invesco Interstate Light" w:cs="Arial"/>
          <w:color w:val="000000"/>
          <w:sz w:val="22"/>
          <w:szCs w:val="22"/>
          <w:lang w:eastAsia="cs-CZ"/>
        </w:rPr>
        <w:t xml:space="preserve">, ECB a </w:t>
      </w:r>
      <w:proofErr w:type="spellStart"/>
      <w:r w:rsidRPr="00684090">
        <w:rPr>
          <w:rFonts w:ascii="Invesco Interstate Light" w:hAnsi="Invesco Interstate Light" w:cs="Arial"/>
          <w:color w:val="000000"/>
          <w:sz w:val="22"/>
          <w:szCs w:val="22"/>
          <w:lang w:eastAsia="cs-CZ"/>
        </w:rPr>
        <w:t>BoE</w:t>
      </w:r>
      <w:proofErr w:type="spellEnd"/>
      <w:r w:rsidRPr="00684090">
        <w:rPr>
          <w:rFonts w:ascii="Invesco Interstate Light" w:hAnsi="Invesco Interstate Light" w:cs="Arial"/>
          <w:color w:val="000000"/>
          <w:sz w:val="22"/>
          <w:szCs w:val="22"/>
          <w:lang w:eastAsia="cs-CZ"/>
        </w:rPr>
        <w:t xml:space="preserve">, ale posunuly načasování i rozsah snížení sazeb očekávaných v průběhu roku 2024. V případě </w:t>
      </w:r>
      <w:proofErr w:type="spellStart"/>
      <w:r w:rsidRPr="00684090">
        <w:rPr>
          <w:rFonts w:ascii="Invesco Interstate Light" w:hAnsi="Invesco Interstate Light" w:cs="Arial"/>
          <w:color w:val="000000"/>
          <w:sz w:val="22"/>
          <w:szCs w:val="22"/>
          <w:lang w:eastAsia="cs-CZ"/>
        </w:rPr>
        <w:t>Fedu</w:t>
      </w:r>
      <w:proofErr w:type="spellEnd"/>
      <w:r w:rsidRPr="00684090">
        <w:rPr>
          <w:rFonts w:ascii="Invesco Interstate Light" w:hAnsi="Invesco Interstate Light" w:cs="Arial"/>
          <w:color w:val="000000"/>
          <w:sz w:val="22"/>
          <w:szCs w:val="22"/>
          <w:lang w:eastAsia="cs-CZ"/>
        </w:rPr>
        <w:t xml:space="preserve"> trhy nyní očekávají první snížení sazeb až v listopadu a druhé snížení v prosinci očekávají pouze v poměru 50:50. U Bank </w:t>
      </w:r>
      <w:proofErr w:type="spellStart"/>
      <w:r w:rsidRPr="00684090">
        <w:rPr>
          <w:rFonts w:ascii="Invesco Interstate Light" w:hAnsi="Invesco Interstate Light" w:cs="Arial"/>
          <w:color w:val="000000"/>
          <w:sz w:val="22"/>
          <w:szCs w:val="22"/>
          <w:lang w:eastAsia="cs-CZ"/>
        </w:rPr>
        <w:t>of</w:t>
      </w:r>
      <w:proofErr w:type="spellEnd"/>
      <w:r w:rsidRPr="00684090">
        <w:rPr>
          <w:rFonts w:ascii="Invesco Interstate Light" w:hAnsi="Invesco Interstate Light" w:cs="Arial"/>
          <w:color w:val="000000"/>
          <w:sz w:val="22"/>
          <w:szCs w:val="22"/>
          <w:lang w:eastAsia="cs-CZ"/>
        </w:rPr>
        <w:t xml:space="preserve"> </w:t>
      </w:r>
      <w:proofErr w:type="spellStart"/>
      <w:r w:rsidRPr="00684090">
        <w:rPr>
          <w:rFonts w:ascii="Invesco Interstate Light" w:hAnsi="Invesco Interstate Light" w:cs="Arial"/>
          <w:color w:val="000000"/>
          <w:sz w:val="22"/>
          <w:szCs w:val="22"/>
          <w:lang w:eastAsia="cs-CZ"/>
        </w:rPr>
        <w:t>England</w:t>
      </w:r>
      <w:proofErr w:type="spellEnd"/>
      <w:r w:rsidRPr="00684090">
        <w:rPr>
          <w:rFonts w:ascii="Invesco Interstate Light" w:hAnsi="Invesco Interstate Light" w:cs="Arial"/>
          <w:color w:val="000000"/>
          <w:sz w:val="22"/>
          <w:szCs w:val="22"/>
          <w:lang w:eastAsia="cs-CZ"/>
        </w:rPr>
        <w:t xml:space="preserve"> se první snížení očekává ve třetím čtvrtletí a další snížení pravděpodobně v prosinci, zatímco trhy předpokládají, že ECB sníží sazby do konce roku třikrát. Výnosy desetiletých státních dluhopisů se v současné době pohybují blízko nejvyšších úrovní za posledních šest měsíců, což při malém uvolnění, které trh diskontuje, může být pro investory příležitostí ke zvýšení úrokového rizika v jejich portfoliích.</w:t>
      </w:r>
    </w:p>
    <w:p w14:paraId="0D53199D" w14:textId="7319B915" w:rsidR="00684090" w:rsidRDefault="00684090" w:rsidP="00684090">
      <w:pPr>
        <w:spacing w:line="240" w:lineRule="auto"/>
        <w:rPr>
          <w:rFonts w:ascii="Invesco Interstate Light" w:hAnsi="Invesco Interstate Light"/>
          <w:b/>
          <w:bCs/>
          <w:sz w:val="22"/>
          <w:szCs w:val="22"/>
        </w:rPr>
      </w:pPr>
      <w:r>
        <w:rPr>
          <w:rFonts w:ascii="Invesco Interstate Light" w:hAnsi="Invesco Interstate Light" w:cs="Arial"/>
          <w:color w:val="000000"/>
          <w:sz w:val="22"/>
          <w:szCs w:val="22"/>
          <w:lang w:eastAsia="cs-CZ"/>
        </w:rPr>
        <w:br/>
      </w:r>
      <w:r w:rsidRPr="00684090">
        <w:rPr>
          <w:rFonts w:ascii="Invesco Interstate Light" w:hAnsi="Invesco Interstate Light"/>
          <w:b/>
          <w:bCs/>
          <w:sz w:val="22"/>
          <w:szCs w:val="22"/>
        </w:rPr>
        <w:t>Graf 5:</w:t>
      </w:r>
      <w:r>
        <w:rPr>
          <w:rFonts w:ascii="Invesco Interstate Light" w:hAnsi="Invesco Interstate Light" w:cs="Arial"/>
          <w:color w:val="000000"/>
          <w:sz w:val="22"/>
          <w:szCs w:val="22"/>
          <w:lang w:eastAsia="cs-CZ"/>
        </w:rPr>
        <w:t xml:space="preserve"> </w:t>
      </w:r>
      <w:r w:rsidRPr="00684090">
        <w:rPr>
          <w:rFonts w:ascii="Invesco Interstate Light" w:hAnsi="Invesco Interstate Light"/>
          <w:b/>
          <w:bCs/>
          <w:sz w:val="22"/>
          <w:szCs w:val="22"/>
        </w:rPr>
        <w:t>Nejvyšší a nejnižší kategorie ETF s pevným výnosem v dubnu 2024</w:t>
      </w:r>
    </w:p>
    <w:p w14:paraId="5074B6E0" w14:textId="77777777" w:rsidR="00684090" w:rsidRDefault="00684090" w:rsidP="00684090">
      <w:pPr>
        <w:spacing w:line="240" w:lineRule="auto"/>
        <w:rPr>
          <w:rFonts w:ascii="Invesco Interstate Light" w:hAnsi="Invesco Interstate Light"/>
          <w:b/>
          <w:bCs/>
          <w:sz w:val="22"/>
          <w:szCs w:val="22"/>
        </w:rPr>
      </w:pPr>
    </w:p>
    <w:p w14:paraId="4C971621" w14:textId="77777777" w:rsidR="00684090" w:rsidRPr="00B122C7" w:rsidRDefault="00684090" w:rsidP="00684090">
      <w:pPr>
        <w:spacing w:line="240" w:lineRule="auto"/>
        <w:jc w:val="right"/>
        <w:rPr>
          <w:rFonts w:ascii="Invesco Interstate Light" w:eastAsia="MS Mincho" w:hAnsi="Invesco Interstate Light"/>
          <w:i/>
          <w:iCs/>
          <w:lang w:eastAsia="ja-JP"/>
        </w:rPr>
      </w:pPr>
      <w:r w:rsidRPr="003545F9">
        <w:rPr>
          <w:rFonts w:ascii="Arial" w:hAnsi="Arial" w:cs="Arial"/>
          <w:noProof/>
          <w:color w:val="000000"/>
          <w:lang w:eastAsia="cs-CZ"/>
        </w:rPr>
        <w:drawing>
          <wp:inline distT="0" distB="0" distL="0" distR="0" wp14:anchorId="159342EF" wp14:editId="4D7B79A7">
            <wp:extent cx="5760720" cy="3240405"/>
            <wp:effectExtent l="0" t="0" r="0" b="0"/>
            <wp:docPr id="287127888" name="Obrázek 2" descr="Top and Bottom Fixed Income ETF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and Bottom Fixed Income ETF Categori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Pr>
          <w:rFonts w:ascii="Invesco Interstate Light" w:hAnsi="Invesco Interstate Light"/>
          <w:b/>
          <w:bCs/>
          <w:sz w:val="22"/>
          <w:szCs w:val="22"/>
        </w:rPr>
        <w:br/>
      </w:r>
      <w:r w:rsidRPr="00B122C7">
        <w:rPr>
          <w:rFonts w:ascii="Invesco Interstate Light" w:eastAsia="MS Mincho" w:hAnsi="Invesco Interstate Light"/>
          <w:i/>
          <w:iCs/>
          <w:lang w:eastAsia="ja-JP"/>
        </w:rPr>
        <w:t xml:space="preserve">Zdroj: </w:t>
      </w:r>
      <w:proofErr w:type="spellStart"/>
      <w:r w:rsidRPr="00B122C7">
        <w:rPr>
          <w:rFonts w:ascii="Invesco Interstate Light" w:eastAsia="MS Mincho" w:hAnsi="Invesco Interstate Light"/>
          <w:i/>
          <w:iCs/>
          <w:lang w:eastAsia="ja-JP"/>
        </w:rPr>
        <w:t>Bloomberg</w:t>
      </w:r>
      <w:proofErr w:type="spellEnd"/>
      <w:r w:rsidRPr="00B122C7">
        <w:rPr>
          <w:rFonts w:ascii="Invesco Interstate Light" w:eastAsia="MS Mincho" w:hAnsi="Invesco Interstate Light"/>
          <w:i/>
          <w:iCs/>
          <w:lang w:eastAsia="ja-JP"/>
        </w:rPr>
        <w:t xml:space="preserve">, </w:t>
      </w:r>
      <w:proofErr w:type="spellStart"/>
      <w:r w:rsidRPr="00B122C7">
        <w:rPr>
          <w:rFonts w:ascii="Invesco Interstate Light" w:eastAsia="MS Mincho" w:hAnsi="Invesco Interstate Light"/>
          <w:i/>
          <w:iCs/>
          <w:lang w:eastAsia="ja-JP"/>
        </w:rPr>
        <w:t>Invesco</w:t>
      </w:r>
      <w:proofErr w:type="spellEnd"/>
      <w:r w:rsidRPr="00B122C7">
        <w:rPr>
          <w:rFonts w:ascii="Invesco Interstate Light" w:eastAsia="MS Mincho" w:hAnsi="Invesco Interstate Light"/>
          <w:i/>
          <w:iCs/>
          <w:lang w:eastAsia="ja-JP"/>
        </w:rPr>
        <w:t xml:space="preserve"> k 30. 4. 2024</w:t>
      </w:r>
    </w:p>
    <w:p w14:paraId="00AC3F72" w14:textId="5B38DB0F" w:rsidR="00684090" w:rsidRPr="00684090" w:rsidRDefault="00684090" w:rsidP="00684090">
      <w:pPr>
        <w:spacing w:line="240" w:lineRule="auto"/>
        <w:rPr>
          <w:rFonts w:ascii="Invesco Interstate Light" w:hAnsi="Invesco Interstate Light"/>
          <w:b/>
          <w:bCs/>
          <w:sz w:val="22"/>
          <w:szCs w:val="22"/>
        </w:rPr>
      </w:pPr>
    </w:p>
    <w:p w14:paraId="14BDFB47" w14:textId="77777777" w:rsidR="00C51698" w:rsidRPr="00C51698" w:rsidRDefault="00C51698" w:rsidP="00C51698">
      <w:pPr>
        <w:spacing w:line="240" w:lineRule="auto"/>
        <w:jc w:val="both"/>
        <w:rPr>
          <w:rFonts w:ascii="Invesco Interstate Light" w:eastAsia="MS Mincho" w:hAnsi="Invesco Interstate Light"/>
          <w:sz w:val="22"/>
          <w:szCs w:val="22"/>
          <w:lang w:eastAsia="ja-JP"/>
        </w:rPr>
      </w:pPr>
    </w:p>
    <w:p w14:paraId="018A1681" w14:textId="77777777" w:rsidR="002231C5" w:rsidRDefault="002231C5" w:rsidP="00651AAE">
      <w:pPr>
        <w:autoSpaceDE w:val="0"/>
        <w:autoSpaceDN w:val="0"/>
        <w:adjustRightInd w:val="0"/>
        <w:spacing w:line="240" w:lineRule="auto"/>
        <w:rPr>
          <w:rFonts w:ascii="Invesco Interstate Light" w:hAnsi="Invesco Interstate Light" w:cs="Arial"/>
          <w:color w:val="000000"/>
          <w:sz w:val="22"/>
          <w:szCs w:val="22"/>
          <w:lang w:eastAsia="cs-CZ"/>
        </w:rPr>
      </w:pPr>
    </w:p>
    <w:p w14:paraId="7BF77D56" w14:textId="6ADED479"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4C71C80" w14:textId="77777777" w:rsidR="008F44AF" w:rsidRPr="00654055" w:rsidRDefault="008F44AF" w:rsidP="008F44AF">
      <w:pPr>
        <w:autoSpaceDE w:val="0"/>
        <w:autoSpaceDN w:val="0"/>
        <w:adjustRightInd w:val="0"/>
        <w:spacing w:line="276" w:lineRule="auto"/>
        <w:rPr>
          <w:rFonts w:ascii="Invesco Interstate Light" w:hAnsi="Invesco Interstate Light"/>
          <w:sz w:val="22"/>
          <w:szCs w:val="22"/>
        </w:rPr>
      </w:pPr>
    </w:p>
    <w:p w14:paraId="059D325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Österreich</w:t>
      </w:r>
      <w:proofErr w:type="spellEnd"/>
      <w:r w:rsidRPr="000E12B4">
        <w:rPr>
          <w:rFonts w:ascii="Invesco Interstate Light" w:hAnsi="Invesco Interstate Light"/>
          <w:sz w:val="22"/>
          <w:szCs w:val="22"/>
        </w:rPr>
        <w:t xml:space="preserve"> – pobočka pobočky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Pr>
          <w:rFonts w:ascii="Invesco Interstate Light" w:hAnsi="Invesco Interstate Light"/>
          <w:sz w:val="22"/>
          <w:szCs w:val="22"/>
        </w:rPr>
        <w:t xml:space="preserve"> </w:t>
      </w:r>
      <w:r w:rsidRPr="002231C5">
        <w:rPr>
          <w:rFonts w:ascii="Invesco Interstate Light" w:hAnsi="Invesco Interstate Light" w:cs="Arial"/>
          <w:sz w:val="22"/>
          <w:szCs w:val="22"/>
          <w:lang w:eastAsia="cs-CZ"/>
        </w:rPr>
        <w:t xml:space="preserve">– </w:t>
      </w:r>
      <w:r w:rsidRPr="000E12B4">
        <w:rPr>
          <w:rFonts w:ascii="Invesco Interstate Light" w:hAnsi="Invesco Interstate Light"/>
          <w:sz w:val="22"/>
          <w:szCs w:val="22"/>
        </w:rPr>
        <w:t xml:space="preserve">jsou součástí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Ltd., společnosti pro správu aktiv se spravovanými aktivy v hodnotě více než 1 593 miliard USD (k 31. říjnu 2021).</w:t>
      </w:r>
    </w:p>
    <w:p w14:paraId="7AA022C4"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6C62B522"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lastRenderedPageBreak/>
        <w:t xml:space="preserve">V případě jakýchkoli dotazů nebo potřeby dalších informací se obraťte na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Valentin Jakubow, telefon +49 69 29807-311.</w:t>
      </w:r>
    </w:p>
    <w:p w14:paraId="21CBC3FA"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212A1395"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Obsažené informace nepředstavují investiční doporučení ani jiné poradenství.  Prognózy a výhledy trhu uvedené v tomto materiálu jsou subjektivní odhady a předpoklady</w:t>
      </w:r>
    </w:p>
    <w:p w14:paraId="663DF2B9"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vedení fondu nebo jeho zástupců. Mohou se kdykoli změnit bez předchozího upozornění. Nelze zaručit, že se prognózy uskuteční podle předpokladů.</w:t>
      </w:r>
    </w:p>
    <w:p w14:paraId="71959ADD" w14:textId="77777777" w:rsidR="008F44AF" w:rsidRPr="000E12B4" w:rsidRDefault="008F44AF" w:rsidP="008F44AF">
      <w:pPr>
        <w:autoSpaceDE w:val="0"/>
        <w:autoSpaceDN w:val="0"/>
        <w:adjustRightInd w:val="0"/>
        <w:spacing w:line="24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 </w:t>
      </w:r>
    </w:p>
    <w:p w14:paraId="13631390" w14:textId="77777777" w:rsidR="008F44AF" w:rsidRPr="000E12B4" w:rsidRDefault="008F44AF" w:rsidP="008F44AF">
      <w:pPr>
        <w:autoSpaceDE w:val="0"/>
        <w:autoSpaceDN w:val="0"/>
        <w:adjustRightInd w:val="0"/>
        <w:spacing w:line="360" w:lineRule="auto"/>
        <w:jc w:val="both"/>
        <w:rPr>
          <w:rFonts w:ascii="Invesco Interstate Light" w:hAnsi="Invesco Interstate Light"/>
          <w:sz w:val="22"/>
          <w:szCs w:val="22"/>
        </w:rPr>
      </w:pPr>
      <w:r w:rsidRPr="000E12B4">
        <w:rPr>
          <w:rFonts w:ascii="Invesco Interstate Light" w:hAnsi="Invesco Interstate Light"/>
          <w:sz w:val="22"/>
          <w:szCs w:val="22"/>
        </w:rPr>
        <w:t xml:space="preserve">Vydavatelem těchto informací v České republice je společnost </w:t>
      </w:r>
      <w:proofErr w:type="spellStart"/>
      <w:r w:rsidRPr="000E12B4">
        <w:rPr>
          <w:rFonts w:ascii="Invesco Interstate Light" w:hAnsi="Invesco Interstate Light"/>
          <w:sz w:val="22"/>
          <w:szCs w:val="22"/>
        </w:rPr>
        <w:t>Invesco</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Asset</w:t>
      </w:r>
      <w:proofErr w:type="spellEnd"/>
      <w:r w:rsidRPr="000E12B4">
        <w:rPr>
          <w:rFonts w:ascii="Invesco Interstate Light" w:hAnsi="Invesco Interstate Light"/>
          <w:sz w:val="22"/>
          <w:szCs w:val="22"/>
        </w:rPr>
        <w:t xml:space="preserve"> Management </w:t>
      </w:r>
      <w:proofErr w:type="spellStart"/>
      <w:r w:rsidRPr="000E12B4">
        <w:rPr>
          <w:rFonts w:ascii="Invesco Interstate Light" w:hAnsi="Invesco Interstate Light"/>
          <w:sz w:val="22"/>
          <w:szCs w:val="22"/>
        </w:rPr>
        <w:t>Deutschland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GmbH</w:t>
      </w:r>
      <w:proofErr w:type="spellEnd"/>
      <w:r w:rsidRPr="000E12B4">
        <w:rPr>
          <w:rFonts w:ascii="Invesco Interstate Light" w:hAnsi="Invesco Interstate Light"/>
          <w:sz w:val="22"/>
          <w:szCs w:val="22"/>
        </w:rPr>
        <w:t xml:space="preserve">, An der </w:t>
      </w:r>
      <w:proofErr w:type="spellStart"/>
      <w:r w:rsidRPr="000E12B4">
        <w:rPr>
          <w:rFonts w:ascii="Invesco Interstate Light" w:hAnsi="Invesco Interstate Light"/>
          <w:sz w:val="22"/>
          <w:szCs w:val="22"/>
        </w:rPr>
        <w:t>Welle</w:t>
      </w:r>
      <w:proofErr w:type="spellEnd"/>
      <w:r w:rsidRPr="000E12B4">
        <w:rPr>
          <w:rFonts w:ascii="Invesco Interstate Light" w:hAnsi="Invesco Interstate Light"/>
          <w:sz w:val="22"/>
          <w:szCs w:val="22"/>
        </w:rPr>
        <w:t xml:space="preserve"> 5, D-60322 Frankfurt nad Mohanem.</w:t>
      </w:r>
      <w:r>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Red</w:t>
      </w:r>
      <w:proofErr w:type="spellEnd"/>
      <w:r w:rsidRPr="000E12B4">
        <w:rPr>
          <w:rFonts w:ascii="Invesco Interstate Light" w:hAnsi="Invesco Interstate Light"/>
          <w:sz w:val="22"/>
          <w:szCs w:val="22"/>
        </w:rPr>
        <w:t xml:space="preserve"> </w:t>
      </w:r>
      <w:proofErr w:type="spellStart"/>
      <w:r w:rsidRPr="000E12B4">
        <w:rPr>
          <w:rFonts w:ascii="Invesco Interstate Light" w:hAnsi="Invesco Interstate Light"/>
          <w:sz w:val="22"/>
          <w:szCs w:val="22"/>
        </w:rPr>
        <w:t>Oak</w:t>
      </w:r>
      <w:proofErr w:type="spellEnd"/>
      <w:r w:rsidRPr="000E12B4">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6"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4854C2">
      <w:headerReference w:type="default" r:id="rId17"/>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F9940" w14:textId="77777777" w:rsidR="00CC528D" w:rsidRDefault="00CC528D">
      <w:r>
        <w:separator/>
      </w:r>
    </w:p>
  </w:endnote>
  <w:endnote w:type="continuationSeparator" w:id="0">
    <w:p w14:paraId="0584203E" w14:textId="77777777" w:rsidR="00CC528D" w:rsidRDefault="00CC528D">
      <w:r>
        <w:continuationSeparator/>
      </w:r>
    </w:p>
  </w:endnote>
  <w:endnote w:type="continuationNotice" w:id="1">
    <w:p w14:paraId="73FBF01D" w14:textId="77777777" w:rsidR="00CC528D" w:rsidRDefault="00CC52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951FE" w14:textId="77777777" w:rsidR="00CC528D" w:rsidRDefault="00CC528D">
      <w:r>
        <w:separator/>
      </w:r>
    </w:p>
  </w:footnote>
  <w:footnote w:type="continuationSeparator" w:id="0">
    <w:p w14:paraId="13379361" w14:textId="77777777" w:rsidR="00CC528D" w:rsidRDefault="00CC528D">
      <w:r>
        <w:continuationSeparator/>
      </w:r>
    </w:p>
  </w:footnote>
  <w:footnote w:type="continuationNotice" w:id="1">
    <w:p w14:paraId="4C0FBEC7" w14:textId="77777777" w:rsidR="00CC528D" w:rsidRDefault="00CC52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564F2548" w:rsidR="00702C33" w:rsidRPr="000730A6" w:rsidRDefault="00BA5183" w:rsidP="0083625E">
    <w:pPr>
      <w:pStyle w:val="Zhlav"/>
      <w:pBdr>
        <w:top w:val="single" w:sz="4" w:space="3" w:color="auto"/>
      </w:pBdr>
      <w:spacing w:line="298" w:lineRule="exact"/>
      <w:ind w:left="3402"/>
      <w:jc w:val="right"/>
      <w:rPr>
        <w:color w:val="000000"/>
        <w:sz w:val="28"/>
        <w:szCs w:val="28"/>
      </w:rPr>
    </w:pPr>
    <w:r>
      <w:rPr>
        <w:color w:val="000000"/>
        <w:sz w:val="28"/>
        <w:szCs w:val="28"/>
      </w:rPr>
      <w:t>22</w:t>
    </w:r>
    <w:r w:rsidR="0083625E">
      <w:rPr>
        <w:color w:val="000000"/>
        <w:sz w:val="28"/>
        <w:szCs w:val="28"/>
      </w:rPr>
      <w:t>.</w:t>
    </w:r>
    <w:r w:rsidR="00EE4C58">
      <w:rPr>
        <w:color w:val="000000"/>
        <w:sz w:val="28"/>
        <w:szCs w:val="28"/>
      </w:rPr>
      <w:t>5</w:t>
    </w:r>
    <w:r w:rsidR="0083625E">
      <w:rPr>
        <w:color w:val="000000"/>
        <w:sz w:val="28"/>
        <w:szCs w:val="28"/>
      </w:rPr>
      <w:t>.202</w:t>
    </w:r>
    <w:r w:rsidR="004F3D00">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630B23"/>
    <w:multiLevelType w:val="multilevel"/>
    <w:tmpl w:val="11820CCE"/>
    <w:numStyleLink w:val="FormatvorlageAufgezhlt"/>
  </w:abstractNum>
  <w:abstractNum w:abstractNumId="18" w15:restartNumberingAfterBreak="0">
    <w:nsid w:val="51C77DF0"/>
    <w:multiLevelType w:val="hybridMultilevel"/>
    <w:tmpl w:val="DFEC23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2F842E6"/>
    <w:multiLevelType w:val="hybridMultilevel"/>
    <w:tmpl w:val="FA32E34A"/>
    <w:lvl w:ilvl="0" w:tplc="04050001">
      <w:start w:val="1"/>
      <w:numFmt w:val="bullet"/>
      <w:lvlText w:val=""/>
      <w:lvlJc w:val="left"/>
      <w:pPr>
        <w:ind w:left="360" w:hanging="360"/>
      </w:pPr>
      <w:rPr>
        <w:rFonts w:ascii="Symbol" w:hAnsi="Symbol" w:hint="default"/>
      </w:rPr>
    </w:lvl>
    <w:lvl w:ilvl="1" w:tplc="862E3118">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403C3"/>
    <w:multiLevelType w:val="multilevel"/>
    <w:tmpl w:val="11820CCE"/>
    <w:numStyleLink w:val="FormatvorlageAufgezhlt"/>
  </w:abstractNum>
  <w:abstractNum w:abstractNumId="26" w15:restartNumberingAfterBreak="0">
    <w:nsid w:val="6C6C4721"/>
    <w:multiLevelType w:val="multilevel"/>
    <w:tmpl w:val="11820CCE"/>
    <w:numStyleLink w:val="FormatvorlageAufgezhlt"/>
  </w:abstractNum>
  <w:abstractNum w:abstractNumId="27"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4E5380B"/>
    <w:multiLevelType w:val="multilevel"/>
    <w:tmpl w:val="11820CCE"/>
    <w:numStyleLink w:val="FormatvorlageAufgezhlt"/>
  </w:abstractNum>
  <w:abstractNum w:abstractNumId="29"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3"/>
  </w:num>
  <w:num w:numId="4" w16cid:durableId="1617441895">
    <w:abstractNumId w:val="14"/>
  </w:num>
  <w:num w:numId="5" w16cid:durableId="1267425896">
    <w:abstractNumId w:val="17"/>
  </w:num>
  <w:num w:numId="6" w16cid:durableId="1792238606">
    <w:abstractNumId w:val="25"/>
  </w:num>
  <w:num w:numId="7" w16cid:durableId="190919629">
    <w:abstractNumId w:val="26"/>
  </w:num>
  <w:num w:numId="8" w16cid:durableId="2083285618">
    <w:abstractNumId w:val="1"/>
  </w:num>
  <w:num w:numId="9" w16cid:durableId="1653213567">
    <w:abstractNumId w:val="28"/>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3"/>
  </w:num>
  <w:num w:numId="14" w16cid:durableId="2009676695">
    <w:abstractNumId w:val="34"/>
  </w:num>
  <w:num w:numId="15" w16cid:durableId="1629623239">
    <w:abstractNumId w:val="22"/>
  </w:num>
  <w:num w:numId="16" w16cid:durableId="1975720235">
    <w:abstractNumId w:val="7"/>
  </w:num>
  <w:num w:numId="17" w16cid:durableId="103501300">
    <w:abstractNumId w:val="2"/>
  </w:num>
  <w:num w:numId="18" w16cid:durableId="1434014312">
    <w:abstractNumId w:val="24"/>
  </w:num>
  <w:num w:numId="19" w16cid:durableId="832065860">
    <w:abstractNumId w:val="27"/>
  </w:num>
  <w:num w:numId="20" w16cid:durableId="667943464">
    <w:abstractNumId w:val="31"/>
  </w:num>
  <w:num w:numId="21" w16cid:durableId="225343112">
    <w:abstractNumId w:val="30"/>
  </w:num>
  <w:num w:numId="22" w16cid:durableId="1319532336">
    <w:abstractNumId w:val="10"/>
  </w:num>
  <w:num w:numId="23" w16cid:durableId="1341154147">
    <w:abstractNumId w:val="21"/>
  </w:num>
  <w:num w:numId="24" w16cid:durableId="796413596">
    <w:abstractNumId w:val="15"/>
  </w:num>
  <w:num w:numId="25" w16cid:durableId="2010979537">
    <w:abstractNumId w:val="32"/>
  </w:num>
  <w:num w:numId="26" w16cid:durableId="951936802">
    <w:abstractNumId w:val="20"/>
  </w:num>
  <w:num w:numId="27" w16cid:durableId="1672954226">
    <w:abstractNumId w:val="3"/>
  </w:num>
  <w:num w:numId="28" w16cid:durableId="953906591">
    <w:abstractNumId w:val="5"/>
  </w:num>
  <w:num w:numId="29" w16cid:durableId="923606003">
    <w:abstractNumId w:val="29"/>
  </w:num>
  <w:num w:numId="30" w16cid:durableId="251279824">
    <w:abstractNumId w:val="9"/>
  </w:num>
  <w:num w:numId="31" w16cid:durableId="561334413">
    <w:abstractNumId w:val="6"/>
  </w:num>
  <w:num w:numId="32" w16cid:durableId="1464276347">
    <w:abstractNumId w:val="12"/>
  </w:num>
  <w:num w:numId="33" w16cid:durableId="514879310">
    <w:abstractNumId w:val="19"/>
  </w:num>
  <w:num w:numId="34" w16cid:durableId="511531335">
    <w:abstractNumId w:val="16"/>
  </w:num>
  <w:num w:numId="35" w16cid:durableId="18211189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6E6"/>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1C5"/>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46DE"/>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435"/>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03F"/>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77F66"/>
    <w:rsid w:val="00480634"/>
    <w:rsid w:val="00480793"/>
    <w:rsid w:val="0048113C"/>
    <w:rsid w:val="00481665"/>
    <w:rsid w:val="00484433"/>
    <w:rsid w:val="004854C2"/>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71E"/>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16B3"/>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481E"/>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409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636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94D"/>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4AF"/>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604"/>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22C7"/>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183"/>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B1A"/>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698"/>
    <w:rsid w:val="00C51753"/>
    <w:rsid w:val="00C51811"/>
    <w:rsid w:val="00C5181D"/>
    <w:rsid w:val="00C5190B"/>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28D"/>
    <w:rsid w:val="00CC5770"/>
    <w:rsid w:val="00CC68B0"/>
    <w:rsid w:val="00CC69AE"/>
    <w:rsid w:val="00CC6CE7"/>
    <w:rsid w:val="00CD09AE"/>
    <w:rsid w:val="00CD1333"/>
    <w:rsid w:val="00CD1431"/>
    <w:rsid w:val="00CD16C0"/>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ACB"/>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3F8"/>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C58"/>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6C2A"/>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3D0F"/>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994</Words>
  <Characters>5869</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2024-05-22T10:40:00Z</dcterms:created>
  <dcterms:modified xsi:type="dcterms:W3CDTF">2024-05-22T10:40:00Z</dcterms:modified>
</cp:coreProperties>
</file>